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9" w:type="dxa"/>
        <w:tblInd w:w="5" w:type="dxa"/>
        <w:shd w:val="clear" w:color="auto" w:fill="D9D9D9" w:themeFill="background1" w:themeFillShade="D9"/>
        <w:tblCellMar>
          <w:top w:w="27" w:type="dxa"/>
          <w:left w:w="80" w:type="dxa"/>
          <w:right w:w="62" w:type="dxa"/>
        </w:tblCellMar>
        <w:tblLook w:val="04A0" w:firstRow="1" w:lastRow="0" w:firstColumn="1" w:lastColumn="0" w:noHBand="0" w:noVBand="1"/>
      </w:tblPr>
      <w:tblGrid>
        <w:gridCol w:w="1502"/>
        <w:gridCol w:w="8127"/>
      </w:tblGrid>
      <w:tr w:rsidR="00720CEB" w:rsidRPr="00A85773" w14:paraId="7572A11C" w14:textId="77777777" w:rsidTr="007E099A">
        <w:trPr>
          <w:trHeight w:val="531"/>
        </w:trPr>
        <w:tc>
          <w:tcPr>
            <w:tcW w:w="15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4E96810" w14:textId="1E31BA93" w:rsidR="00720CEB" w:rsidRPr="00A85773" w:rsidRDefault="00720CEB" w:rsidP="008F271E">
            <w:pPr>
              <w:spacing w:after="120"/>
            </w:pPr>
            <w:r w:rsidRPr="00A85773">
              <w:rPr>
                <w:b/>
              </w:rPr>
              <w:t>Qualification code</w:t>
            </w:r>
          </w:p>
        </w:tc>
        <w:tc>
          <w:tcPr>
            <w:tcW w:w="8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1CD8BA1" w14:textId="2C9C7AF7" w:rsidR="00720CEB" w:rsidRPr="00A85773" w:rsidRDefault="00294B11" w:rsidP="008F271E">
            <w:pPr>
              <w:spacing w:after="120"/>
            </w:pPr>
            <w:r w:rsidRPr="00D6788E">
              <w:t>HLT478</w:t>
            </w:r>
            <w:r w:rsidR="00E13927">
              <w:t>25</w:t>
            </w:r>
          </w:p>
        </w:tc>
      </w:tr>
      <w:tr w:rsidR="00720CEB" w:rsidRPr="00A85773" w14:paraId="73FF4B1A" w14:textId="77777777" w:rsidTr="007E099A">
        <w:trPr>
          <w:trHeight w:val="530"/>
        </w:trPr>
        <w:tc>
          <w:tcPr>
            <w:tcW w:w="15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60277D7" w14:textId="7C930E0A" w:rsidR="00720CEB" w:rsidRPr="00A85773" w:rsidRDefault="00720CEB" w:rsidP="008F271E">
            <w:pPr>
              <w:spacing w:after="120"/>
            </w:pPr>
            <w:r w:rsidRPr="00A85773">
              <w:rPr>
                <w:b/>
              </w:rPr>
              <w:t>Qualification title</w:t>
            </w:r>
          </w:p>
        </w:tc>
        <w:tc>
          <w:tcPr>
            <w:tcW w:w="8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7BC75C7" w14:textId="77777777" w:rsidR="00720CEB" w:rsidRPr="00347D67" w:rsidRDefault="00720CEB">
            <w:pPr>
              <w:spacing w:after="120"/>
            </w:pPr>
            <w:r w:rsidRPr="00347D67">
              <w:t>Certificate IV in Optical Dispensing</w:t>
            </w:r>
          </w:p>
        </w:tc>
      </w:tr>
      <w:tr w:rsidR="00085FE6" w:rsidRPr="00A85773" w14:paraId="3D07FF92" w14:textId="77777777" w:rsidTr="007E099A">
        <w:trPr>
          <w:trHeight w:val="530"/>
        </w:trPr>
        <w:tc>
          <w:tcPr>
            <w:tcW w:w="15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68A6A5" w14:textId="3CE89FE9" w:rsidR="00085FE6" w:rsidRPr="00A85773" w:rsidRDefault="00085FE6" w:rsidP="008F271E">
            <w:pPr>
              <w:spacing w:after="120"/>
              <w:rPr>
                <w:b/>
              </w:rPr>
            </w:pPr>
            <w:r w:rsidRPr="008F5052">
              <w:rPr>
                <w:b/>
              </w:rPr>
              <w:t>Modification history</w:t>
            </w:r>
          </w:p>
        </w:tc>
        <w:tc>
          <w:tcPr>
            <w:tcW w:w="8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CDE646" w14:textId="7EC11B6C" w:rsidR="00085FE6" w:rsidRPr="00085FE6" w:rsidRDefault="00085FE6">
            <w:pPr>
              <w:spacing w:after="120"/>
            </w:pPr>
            <w:r w:rsidRPr="00347D67">
              <w:t xml:space="preserve">Release 1. Supersedes and </w:t>
            </w:r>
            <w:r w:rsidR="00375DCD">
              <w:t xml:space="preserve">is </w:t>
            </w:r>
            <w:r w:rsidRPr="00347D67">
              <w:t xml:space="preserve">not equivalent to </w:t>
            </w:r>
            <w:r w:rsidRPr="00085FE6">
              <w:rPr>
                <w:i/>
                <w:iCs/>
              </w:rPr>
              <w:t>HLT47815 Certificate IV in Optical Dispensing</w:t>
            </w:r>
            <w:r w:rsidRPr="00347D67">
              <w:t>. Changes to packaging rules</w:t>
            </w:r>
            <w:r w:rsidR="00E10D79">
              <w:t xml:space="preserve">, </w:t>
            </w:r>
            <w:r w:rsidR="00347D67">
              <w:t xml:space="preserve">total </w:t>
            </w:r>
            <w:r w:rsidR="00E10D79">
              <w:t>number of units reduced from 14 to 12</w:t>
            </w:r>
            <w:r w:rsidR="00E10D79" w:rsidRPr="003C12B4">
              <w:t xml:space="preserve">. Significant changes to core </w:t>
            </w:r>
            <w:r w:rsidR="00E10D79">
              <w:t xml:space="preserve">and elective </w:t>
            </w:r>
            <w:r w:rsidR="00E10D79" w:rsidRPr="003C12B4">
              <w:t>units.</w:t>
            </w:r>
          </w:p>
        </w:tc>
      </w:tr>
      <w:tr w:rsidR="00720CEB" w:rsidRPr="00A85773" w14:paraId="684A906F" w14:textId="77777777" w:rsidTr="007E099A">
        <w:trPr>
          <w:trHeight w:val="1417"/>
        </w:trPr>
        <w:tc>
          <w:tcPr>
            <w:tcW w:w="15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1E48AD5" w14:textId="13D9CCD8" w:rsidR="00720CEB" w:rsidRPr="00A85773" w:rsidRDefault="00720CEB" w:rsidP="008F271E">
            <w:pPr>
              <w:spacing w:after="120"/>
            </w:pPr>
            <w:r w:rsidRPr="00A85773">
              <w:rPr>
                <w:b/>
              </w:rPr>
              <w:t>Qualification description</w:t>
            </w:r>
          </w:p>
        </w:tc>
        <w:tc>
          <w:tcPr>
            <w:tcW w:w="8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7AEFE5E" w14:textId="155A6618" w:rsidR="00720CEB" w:rsidRPr="00D6788E" w:rsidRDefault="00720CEB">
            <w:pPr>
              <w:spacing w:after="120"/>
            </w:pPr>
            <w:r w:rsidRPr="00D6788E">
              <w:t xml:space="preserve">This qualification reflects the role of optical dispensers who dispense and supply optical appliances as prescribed by optometrists and ophthalmologists </w:t>
            </w:r>
            <w:r w:rsidRPr="008F5052">
              <w:t xml:space="preserve">in accordance with </w:t>
            </w:r>
            <w:r w:rsidR="00767F34" w:rsidRPr="00767F34">
              <w:t>Commonwealth and State/Territory legislation, Australian/New Zealand standards and industry codes of practic</w:t>
            </w:r>
            <w:r w:rsidR="00767F34">
              <w:t>e</w:t>
            </w:r>
            <w:r>
              <w:t>.</w:t>
            </w:r>
            <w:r w:rsidRPr="00D6788E">
              <w:t xml:space="preserve"> Optical dispensers practi</w:t>
            </w:r>
            <w:r w:rsidR="00F953D1">
              <w:t>s</w:t>
            </w:r>
            <w:r w:rsidRPr="00D6788E">
              <w:t xml:space="preserve">e in a range of environments including optical dispensaries, optometric practices and laboratories. They may be self-employed or employed by another optical dispenser, an optometrist, a major optical dispensing </w:t>
            </w:r>
            <w:r w:rsidR="00390107">
              <w:t>organisation</w:t>
            </w:r>
            <w:r w:rsidR="00390107" w:rsidRPr="00D6788E">
              <w:t xml:space="preserve"> </w:t>
            </w:r>
            <w:r w:rsidRPr="00D6788E">
              <w:t>or other retailer.</w:t>
            </w:r>
          </w:p>
          <w:p w14:paraId="3F61590E" w14:textId="0EA87D59" w:rsidR="00720CEB" w:rsidRPr="00D6788E" w:rsidRDefault="00720CEB">
            <w:pPr>
              <w:spacing w:after="120"/>
            </w:pPr>
            <w:r>
              <w:t xml:space="preserve">To achieve this qualification, the candidate must have completed at </w:t>
            </w:r>
            <w:r w:rsidRPr="00347D67">
              <w:t xml:space="preserve">least </w:t>
            </w:r>
            <w:r w:rsidR="00854D0E" w:rsidRPr="00347D67">
              <w:t xml:space="preserve">100 </w:t>
            </w:r>
            <w:r w:rsidRPr="00347D67">
              <w:t>hours</w:t>
            </w:r>
            <w:r>
              <w:t xml:space="preserve"> of </w:t>
            </w:r>
            <w:r w:rsidR="008F271E">
              <w:t>direct c</w:t>
            </w:r>
            <w:r w:rsidR="00491B43">
              <w:t xml:space="preserve">lient </w:t>
            </w:r>
            <w:r w:rsidR="008F271E">
              <w:t xml:space="preserve">contact </w:t>
            </w:r>
            <w:r>
              <w:t xml:space="preserve">work </w:t>
            </w:r>
            <w:r w:rsidR="008F271E">
              <w:t xml:space="preserve">in an optical dispensing environment </w:t>
            </w:r>
            <w:r>
              <w:t>as detailed in the Assessment Requirements of units of competency.</w:t>
            </w:r>
            <w:r w:rsidR="735A8B52">
              <w:t xml:space="preserve"> The total number of hours may be applied collectively across all units of competency that include the requirement for workplace hours.</w:t>
            </w:r>
          </w:p>
          <w:p w14:paraId="2F804E5A" w14:textId="011F91DA" w:rsidR="00720CEB" w:rsidRPr="00347D67" w:rsidRDefault="00B63B63">
            <w:pPr>
              <w:spacing w:after="120"/>
              <w:rPr>
                <w:i/>
                <w:iCs/>
              </w:rPr>
            </w:pPr>
            <w:r w:rsidRPr="00347D67">
              <w:rPr>
                <w:i/>
                <w:iCs/>
              </w:rPr>
              <w:t>No</w:t>
            </w:r>
            <w:r w:rsidR="0039712B" w:rsidRPr="00347D67">
              <w:rPr>
                <w:i/>
                <w:iCs/>
              </w:rPr>
              <w:t xml:space="preserve"> </w:t>
            </w:r>
            <w:r w:rsidRPr="00347D67">
              <w:rPr>
                <w:i/>
                <w:iCs/>
              </w:rPr>
              <w:t>occupational licensing</w:t>
            </w:r>
            <w:r w:rsidR="00161463">
              <w:rPr>
                <w:i/>
                <w:iCs/>
              </w:rPr>
              <w:t xml:space="preserve"> </w:t>
            </w:r>
            <w:r w:rsidRPr="00347D67">
              <w:rPr>
                <w:i/>
                <w:iCs/>
              </w:rPr>
              <w:t xml:space="preserve">or certification requirements apply to this qualification </w:t>
            </w:r>
            <w:r w:rsidR="000D3002">
              <w:rPr>
                <w:i/>
                <w:iCs/>
              </w:rPr>
              <w:t xml:space="preserve">in Australia </w:t>
            </w:r>
            <w:r w:rsidRPr="00347D67">
              <w:rPr>
                <w:i/>
                <w:iCs/>
              </w:rPr>
              <w:t>at the time of publication.</w:t>
            </w:r>
            <w:r w:rsidR="006F21BE">
              <w:rPr>
                <w:i/>
                <w:iCs/>
              </w:rPr>
              <w:t xml:space="preserve"> </w:t>
            </w:r>
            <w:r w:rsidR="00572AA7" w:rsidRPr="00347D67">
              <w:rPr>
                <w:i/>
                <w:iCs/>
              </w:rPr>
              <w:t>T</w:t>
            </w:r>
            <w:r w:rsidR="00720CEB" w:rsidRPr="00347D67">
              <w:rPr>
                <w:i/>
                <w:iCs/>
              </w:rPr>
              <w:t>his qualification supports industry accreditation as a dispensing optician in New Zealand.</w:t>
            </w:r>
            <w:r w:rsidR="00572AA7" w:rsidRPr="00347D67">
              <w:rPr>
                <w:i/>
                <w:iCs/>
              </w:rPr>
              <w:t xml:space="preserve"> </w:t>
            </w:r>
          </w:p>
        </w:tc>
      </w:tr>
      <w:tr w:rsidR="0006269E" w:rsidRPr="00A85773" w14:paraId="3B2B82FB" w14:textId="77777777" w:rsidTr="007E099A">
        <w:tblPrEx>
          <w:tblCellMar>
            <w:left w:w="108" w:type="dxa"/>
            <w:right w:w="108" w:type="dxa"/>
          </w:tblCellMar>
        </w:tblPrEx>
        <w:trPr>
          <w:trHeight w:val="1417"/>
        </w:trPr>
        <w:tc>
          <w:tcPr>
            <w:tcW w:w="15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C77374" w14:textId="3358D790" w:rsidR="0006269E" w:rsidRPr="00A85773" w:rsidRDefault="00CC23B3" w:rsidP="008F271E">
            <w:pPr>
              <w:spacing w:after="120"/>
              <w:rPr>
                <w:b/>
              </w:rPr>
            </w:pPr>
            <w:r>
              <w:rPr>
                <w:b/>
              </w:rPr>
              <w:t>Foundation skills outcomes</w:t>
            </w:r>
          </w:p>
        </w:tc>
        <w:tc>
          <w:tcPr>
            <w:tcW w:w="8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1872AAD" w14:textId="77777777" w:rsidR="007E099A" w:rsidRDefault="00EC1C6E">
            <w:pPr>
              <w:spacing w:after="120"/>
              <w:rPr>
                <w:i/>
                <w:iCs/>
              </w:rPr>
            </w:pPr>
            <w:r w:rsidRPr="00882E3B">
              <w:rPr>
                <w:i/>
                <w:iCs/>
              </w:rPr>
              <w:t>The foundation skills outcomes implicit in this qualification are outlined in the below bar chart.</w:t>
            </w:r>
          </w:p>
          <w:p w14:paraId="08A4F3D9" w14:textId="7D8A6665" w:rsidR="00CC23B3" w:rsidRDefault="00446CA5">
            <w:pPr>
              <w:spacing w:after="12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C01830B" wp14:editId="1D707021">
                  <wp:extent cx="4795736" cy="2886075"/>
                  <wp:effectExtent l="0" t="0" r="17780" b="9525"/>
                  <wp:docPr id="884073969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720CEB" w:rsidRPr="00A85773" w14:paraId="48BACE2C" w14:textId="77777777" w:rsidTr="007E099A">
        <w:trPr>
          <w:trHeight w:val="500"/>
        </w:trPr>
        <w:tc>
          <w:tcPr>
            <w:tcW w:w="15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7E90C71" w14:textId="08B37C80" w:rsidR="00720CEB" w:rsidRPr="00A85773" w:rsidRDefault="00720CEB" w:rsidP="008F271E">
            <w:pPr>
              <w:spacing w:after="120"/>
            </w:pPr>
            <w:r w:rsidRPr="00A85773">
              <w:rPr>
                <w:b/>
              </w:rPr>
              <w:t>Entry requirements</w:t>
            </w:r>
          </w:p>
        </w:tc>
        <w:tc>
          <w:tcPr>
            <w:tcW w:w="8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28F263E" w14:textId="77777777" w:rsidR="00720CEB" w:rsidRPr="00A85773" w:rsidRDefault="00720CEB">
            <w:pPr>
              <w:spacing w:after="120"/>
            </w:pPr>
            <w:r>
              <w:t>Nil</w:t>
            </w:r>
          </w:p>
        </w:tc>
      </w:tr>
      <w:tr w:rsidR="00720CEB" w:rsidRPr="00A85773" w14:paraId="3F9F9644" w14:textId="77777777" w:rsidTr="007E099A">
        <w:trPr>
          <w:trHeight w:val="1417"/>
        </w:trPr>
        <w:tc>
          <w:tcPr>
            <w:tcW w:w="15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14CEB6" w14:textId="06ED40E1" w:rsidR="00720CEB" w:rsidRPr="005E2C56" w:rsidRDefault="00720CEB" w:rsidP="00347D67">
            <w:pPr>
              <w:spacing w:after="120"/>
              <w:rPr>
                <w:b/>
                <w:shd w:val="clear" w:color="auto" w:fill="FFFFFF" w:themeFill="background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Packaging Rules</w:t>
            </w:r>
            <w:r w:rsidRPr="00233FB9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4413CB" w14:textId="502B8EB0" w:rsidR="006A5DE7" w:rsidRPr="008E5A9C" w:rsidRDefault="006A5DE7" w:rsidP="006A5DE7">
            <w:pPr>
              <w:spacing w:after="120"/>
            </w:pPr>
            <w:r>
              <w:t xml:space="preserve">Total number of units = </w:t>
            </w:r>
            <w:r w:rsidR="00741623">
              <w:t>12</w:t>
            </w:r>
          </w:p>
          <w:p w14:paraId="4DB813C9" w14:textId="4F49DD1F" w:rsidR="006A5DE7" w:rsidRPr="008E5A9C" w:rsidRDefault="006348CE" w:rsidP="006A5DE7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9</w:t>
            </w:r>
            <w:r w:rsidR="006A5DE7">
              <w:t xml:space="preserve"> core units</w:t>
            </w:r>
          </w:p>
          <w:p w14:paraId="3580BC5E" w14:textId="3C86E983" w:rsidR="00907438" w:rsidRPr="008E5A9C" w:rsidRDefault="00741623" w:rsidP="00347D67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3</w:t>
            </w:r>
            <w:r w:rsidR="006A5DE7">
              <w:t xml:space="preserve"> </w:t>
            </w:r>
            <w:r w:rsidR="00B4173F">
              <w:t>electives</w:t>
            </w:r>
            <w:r w:rsidR="006A5DE7">
              <w:t xml:space="preserve"> units</w:t>
            </w:r>
            <w:r w:rsidR="008F271E">
              <w:t xml:space="preserve">, </w:t>
            </w:r>
            <w:r w:rsidR="00085FE6">
              <w:t>consisting of</w:t>
            </w:r>
            <w:r w:rsidR="008F271E">
              <w:t>:</w:t>
            </w:r>
          </w:p>
          <w:p w14:paraId="7114FDB4" w14:textId="17798D6B" w:rsidR="00907438" w:rsidRDefault="00907438" w:rsidP="00907438">
            <w:pPr>
              <w:pStyle w:val="ListParagraph"/>
              <w:numPr>
                <w:ilvl w:val="0"/>
                <w:numId w:val="3"/>
              </w:numPr>
            </w:pPr>
            <w:r>
              <w:t xml:space="preserve">at least 2 </w:t>
            </w:r>
            <w:r w:rsidR="008F271E">
              <w:t xml:space="preserve">units </w:t>
            </w:r>
            <w:r>
              <w:t>from the electives listed below</w:t>
            </w:r>
          </w:p>
          <w:p w14:paraId="0CE62157" w14:textId="0E225D0F" w:rsidR="008F271E" w:rsidRDefault="00B153F9" w:rsidP="008F271E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 w:rsidR="00907438">
              <w:t xml:space="preserve">emaining </w:t>
            </w:r>
            <w:r w:rsidR="00085FE6">
              <w:t xml:space="preserve">1 </w:t>
            </w:r>
            <w:r w:rsidR="00907438">
              <w:t>unit from the electives listed below or from any currently endorsed Training Package or accredited course</w:t>
            </w:r>
            <w:r w:rsidR="008F271E">
              <w:t>.</w:t>
            </w:r>
          </w:p>
          <w:p w14:paraId="31F92F7D" w14:textId="4A7E9FEC" w:rsidR="00720CEB" w:rsidRPr="008E5A9C" w:rsidRDefault="00085FE6" w:rsidP="00347D67">
            <w:r w:rsidRPr="00CE5505">
              <w:rPr>
                <w:color w:val="000000" w:themeColor="text1"/>
              </w:rPr>
              <w:t>El</w:t>
            </w:r>
            <w:r w:rsidRPr="00041F37">
              <w:t xml:space="preserve">ective units must ensure the integrity of the qualification’s Australian Qualification Framework (AQF) alignment and contribute to a valid, industry-supported vocational outcome. </w:t>
            </w:r>
          </w:p>
        </w:tc>
      </w:tr>
    </w:tbl>
    <w:p w14:paraId="0BAC355D" w14:textId="77777777" w:rsidR="008F271E" w:rsidRDefault="008F271E"/>
    <w:tbl>
      <w:tblPr>
        <w:tblStyle w:val="TableGrid"/>
        <w:tblW w:w="9060" w:type="dxa"/>
        <w:tblLayout w:type="fixed"/>
        <w:tblLook w:val="06A0" w:firstRow="1" w:lastRow="0" w:firstColumn="1" w:lastColumn="0" w:noHBand="1" w:noVBand="1"/>
      </w:tblPr>
      <w:tblGrid>
        <w:gridCol w:w="2940"/>
        <w:gridCol w:w="6120"/>
      </w:tblGrid>
      <w:tr w:rsidR="0087574C" w14:paraId="321F1993" w14:textId="77777777" w:rsidTr="790C396C">
        <w:trPr>
          <w:trHeight w:val="300"/>
        </w:trPr>
        <w:tc>
          <w:tcPr>
            <w:tcW w:w="9060" w:type="dxa"/>
            <w:gridSpan w:val="2"/>
          </w:tcPr>
          <w:p w14:paraId="58D658F2" w14:textId="77777777" w:rsidR="0087574C" w:rsidRPr="00D6788E" w:rsidRDefault="0087574C">
            <w:pPr>
              <w:rPr>
                <w:b/>
              </w:rPr>
            </w:pPr>
            <w:r w:rsidRPr="00D6788E">
              <w:rPr>
                <w:b/>
              </w:rPr>
              <w:t xml:space="preserve">Core Units </w:t>
            </w:r>
          </w:p>
        </w:tc>
      </w:tr>
      <w:tr w:rsidR="008F271E" w14:paraId="3656A649" w14:textId="77777777" w:rsidTr="790C396C">
        <w:trPr>
          <w:trHeight w:val="300"/>
        </w:trPr>
        <w:tc>
          <w:tcPr>
            <w:tcW w:w="2940" w:type="dxa"/>
          </w:tcPr>
          <w:p w14:paraId="17062B4B" w14:textId="6AF0D2DC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30367369">
              <w:rPr>
                <w:rFonts w:eastAsiaTheme="minorEastAsia"/>
              </w:rPr>
              <w:t>BSBOPS304</w:t>
            </w:r>
          </w:p>
        </w:tc>
        <w:tc>
          <w:tcPr>
            <w:tcW w:w="6120" w:type="dxa"/>
          </w:tcPr>
          <w:p w14:paraId="62B78ADA" w14:textId="355EA99B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Deliver and monitor a service to customers</w:t>
            </w:r>
          </w:p>
        </w:tc>
      </w:tr>
      <w:tr w:rsidR="008F271E" w14:paraId="3C0E6AB6" w14:textId="77777777" w:rsidTr="790C396C">
        <w:trPr>
          <w:trHeight w:val="300"/>
        </w:trPr>
        <w:tc>
          <w:tcPr>
            <w:tcW w:w="2940" w:type="dxa"/>
          </w:tcPr>
          <w:p w14:paraId="6E24F830" w14:textId="77777777" w:rsidR="008F271E" w:rsidRPr="00D6788E" w:rsidRDefault="008F271E" w:rsidP="008F271E">
            <w:pPr>
              <w:spacing w:before="120" w:after="120"/>
              <w:rPr>
                <w:i/>
                <w:iCs/>
              </w:rPr>
            </w:pPr>
            <w:r w:rsidRPr="00D6788E">
              <w:rPr>
                <w:rFonts w:eastAsiaTheme="minorEastAsia"/>
              </w:rPr>
              <w:t>CHCCOM005</w:t>
            </w:r>
          </w:p>
        </w:tc>
        <w:tc>
          <w:tcPr>
            <w:tcW w:w="6120" w:type="dxa"/>
          </w:tcPr>
          <w:p w14:paraId="1B5236D6" w14:textId="77777777" w:rsidR="008F271E" w:rsidRPr="00D6788E" w:rsidRDefault="008F271E" w:rsidP="008F271E">
            <w:pPr>
              <w:spacing w:before="120" w:after="120"/>
              <w:rPr>
                <w:i/>
                <w:iCs/>
              </w:rPr>
            </w:pPr>
            <w:r w:rsidRPr="00D6788E">
              <w:rPr>
                <w:rFonts w:eastAsiaTheme="minorEastAsia"/>
              </w:rPr>
              <w:t>Communicate and work in health or community services</w:t>
            </w:r>
          </w:p>
        </w:tc>
      </w:tr>
      <w:tr w:rsidR="008F271E" w14:paraId="70F03FF8" w14:textId="77777777" w:rsidTr="790C396C">
        <w:trPr>
          <w:trHeight w:val="300"/>
        </w:trPr>
        <w:tc>
          <w:tcPr>
            <w:tcW w:w="2940" w:type="dxa"/>
          </w:tcPr>
          <w:p w14:paraId="1020A016" w14:textId="77777777" w:rsidR="008F271E" w:rsidRPr="00D6788E" w:rsidRDefault="008F271E" w:rsidP="008F271E">
            <w:pPr>
              <w:spacing w:before="120" w:after="120"/>
              <w:rPr>
                <w:i/>
                <w:iCs/>
              </w:rPr>
            </w:pPr>
            <w:r w:rsidRPr="00D6788E">
              <w:rPr>
                <w:rFonts w:eastAsiaTheme="minorEastAsia"/>
              </w:rPr>
              <w:t>CHCDIV001</w:t>
            </w:r>
          </w:p>
        </w:tc>
        <w:tc>
          <w:tcPr>
            <w:tcW w:w="6120" w:type="dxa"/>
          </w:tcPr>
          <w:p w14:paraId="4EAA28E9" w14:textId="77777777" w:rsidR="008F271E" w:rsidRPr="00D6788E" w:rsidRDefault="008F271E" w:rsidP="008F271E">
            <w:pPr>
              <w:spacing w:before="120" w:after="120"/>
              <w:rPr>
                <w:i/>
                <w:iCs/>
              </w:rPr>
            </w:pPr>
            <w:r w:rsidRPr="00D6788E">
              <w:rPr>
                <w:rFonts w:eastAsiaTheme="minorEastAsia"/>
              </w:rPr>
              <w:t>Work with diverse people</w:t>
            </w:r>
          </w:p>
        </w:tc>
      </w:tr>
      <w:tr w:rsidR="008F271E" w14:paraId="39F59DCD" w14:textId="77777777" w:rsidTr="790C396C">
        <w:trPr>
          <w:trHeight w:val="300"/>
        </w:trPr>
        <w:tc>
          <w:tcPr>
            <w:tcW w:w="2940" w:type="dxa"/>
          </w:tcPr>
          <w:p w14:paraId="0C228F34" w14:textId="56EA61D0" w:rsidR="008F271E" w:rsidRPr="00D6788E" w:rsidRDefault="008F271E" w:rsidP="008F271E">
            <w:pPr>
              <w:spacing w:before="120" w:after="120"/>
              <w:rPr>
                <w:i/>
                <w:iCs/>
              </w:rPr>
            </w:pPr>
            <w:r w:rsidRPr="00D6788E">
              <w:rPr>
                <w:rFonts w:eastAsiaTheme="minorEastAsia"/>
              </w:rPr>
              <w:t>HLTOPD00</w:t>
            </w:r>
            <w:r w:rsidR="00AA6E99">
              <w:rPr>
                <w:rFonts w:eastAsiaTheme="minorEastAsia"/>
              </w:rPr>
              <w:t>6</w:t>
            </w:r>
          </w:p>
        </w:tc>
        <w:tc>
          <w:tcPr>
            <w:tcW w:w="6120" w:type="dxa"/>
          </w:tcPr>
          <w:p w14:paraId="24DC7EB5" w14:textId="286D0740" w:rsidR="008F271E" w:rsidRPr="00347D67" w:rsidRDefault="008B2AC5" w:rsidP="008F271E">
            <w:pPr>
              <w:spacing w:before="120" w:after="120"/>
              <w:rPr>
                <w:i/>
                <w:iCs/>
                <w:highlight w:val="lightGray"/>
              </w:rPr>
            </w:pPr>
            <w:r w:rsidRPr="008B2AC5">
              <w:rPr>
                <w:rFonts w:ascii="Calibri" w:hAnsi="Calibri" w:cs="Calibri"/>
              </w:rPr>
              <w:t>Assist with optical appliance selection and maintenance</w:t>
            </w:r>
            <w:r w:rsidRPr="008B2AC5" w:rsidDel="00C75736">
              <w:rPr>
                <w:rFonts w:ascii="Calibri" w:hAnsi="Calibri" w:cs="Calibri"/>
                <w:highlight w:val="lightGray"/>
              </w:rPr>
              <w:t xml:space="preserve"> </w:t>
            </w:r>
          </w:p>
        </w:tc>
      </w:tr>
      <w:tr w:rsidR="008F271E" w14:paraId="32A27FB7" w14:textId="77777777" w:rsidTr="790C396C">
        <w:trPr>
          <w:trHeight w:val="300"/>
        </w:trPr>
        <w:tc>
          <w:tcPr>
            <w:tcW w:w="2940" w:type="dxa"/>
          </w:tcPr>
          <w:p w14:paraId="216AE553" w14:textId="36818C8D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HLTOPD00</w:t>
            </w:r>
            <w:r w:rsidR="0076540F">
              <w:rPr>
                <w:rFonts w:eastAsiaTheme="minorEastAsia"/>
              </w:rPr>
              <w:t>7</w:t>
            </w:r>
          </w:p>
        </w:tc>
        <w:tc>
          <w:tcPr>
            <w:tcW w:w="6120" w:type="dxa"/>
          </w:tcPr>
          <w:p w14:paraId="1CEC5C6D" w14:textId="673D8127" w:rsidR="008F271E" w:rsidRPr="00DA6456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A6456">
              <w:rPr>
                <w:rFonts w:eastAsiaTheme="minorEastAsia"/>
              </w:rPr>
              <w:t xml:space="preserve">Dispense </w:t>
            </w:r>
            <w:r w:rsidR="00C75736" w:rsidRPr="00347D67">
              <w:rPr>
                <w:rFonts w:eastAsiaTheme="minorEastAsia"/>
              </w:rPr>
              <w:t>single vision</w:t>
            </w:r>
            <w:r w:rsidR="00C75736" w:rsidRPr="00DA6456">
              <w:rPr>
                <w:rFonts w:eastAsiaTheme="minorEastAsia"/>
              </w:rPr>
              <w:t xml:space="preserve"> </w:t>
            </w:r>
            <w:r w:rsidRPr="00DA6456">
              <w:rPr>
                <w:rFonts w:eastAsiaTheme="minorEastAsia"/>
              </w:rPr>
              <w:t>optical appliances</w:t>
            </w:r>
            <w:r w:rsidR="00294B11" w:rsidRPr="00DA6456">
              <w:rPr>
                <w:rFonts w:eastAsiaTheme="minorEastAsia"/>
              </w:rPr>
              <w:t>*</w:t>
            </w:r>
          </w:p>
        </w:tc>
      </w:tr>
      <w:tr w:rsidR="008F271E" w14:paraId="307F6E1F" w14:textId="77777777" w:rsidTr="00347D67">
        <w:trPr>
          <w:trHeight w:val="652"/>
        </w:trPr>
        <w:tc>
          <w:tcPr>
            <w:tcW w:w="2940" w:type="dxa"/>
          </w:tcPr>
          <w:p w14:paraId="1EB39638" w14:textId="16050E35" w:rsidR="008F271E" w:rsidRPr="00D6788E" w:rsidRDefault="008F271E" w:rsidP="008F271E">
            <w:pPr>
              <w:spacing w:before="120" w:after="120"/>
              <w:rPr>
                <w:i/>
                <w:iCs/>
              </w:rPr>
            </w:pPr>
            <w:r w:rsidRPr="2EA4218F">
              <w:rPr>
                <w:rFonts w:eastAsiaTheme="minorEastAsia"/>
              </w:rPr>
              <w:t>HLTOPD00</w:t>
            </w:r>
            <w:r w:rsidR="002E3922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6120" w:type="dxa"/>
          </w:tcPr>
          <w:p w14:paraId="6A96A687" w14:textId="7D257D5F" w:rsidR="008F271E" w:rsidRPr="00DA6456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A6456">
              <w:rPr>
                <w:rFonts w:eastAsiaTheme="minorEastAsia"/>
              </w:rPr>
              <w:t>Dispense advanced optical appliances</w:t>
            </w:r>
            <w:r w:rsidR="00294B11" w:rsidRPr="00DA6456">
              <w:rPr>
                <w:rFonts w:eastAsiaTheme="minorEastAsia"/>
              </w:rPr>
              <w:t>*</w:t>
            </w:r>
            <w:r w:rsidRPr="00DA6456">
              <w:rPr>
                <w:rFonts w:eastAsiaTheme="minorEastAsia"/>
              </w:rPr>
              <w:t xml:space="preserve"> </w:t>
            </w:r>
          </w:p>
        </w:tc>
      </w:tr>
      <w:tr w:rsidR="008F271E" w14:paraId="54E7B86E" w14:textId="77777777" w:rsidTr="790C396C">
        <w:trPr>
          <w:trHeight w:val="300"/>
        </w:trPr>
        <w:tc>
          <w:tcPr>
            <w:tcW w:w="2940" w:type="dxa"/>
          </w:tcPr>
          <w:p w14:paraId="23B07660" w14:textId="394DF405" w:rsidR="008F271E" w:rsidRPr="00D6788E" w:rsidRDefault="008F271E" w:rsidP="008F271E">
            <w:pPr>
              <w:spacing w:before="120" w:after="120"/>
              <w:rPr>
                <w:i/>
                <w:iCs/>
              </w:rPr>
            </w:pPr>
            <w:r w:rsidRPr="00D6788E">
              <w:rPr>
                <w:rFonts w:eastAsiaTheme="minorEastAsia"/>
              </w:rPr>
              <w:t>HLTOPD0</w:t>
            </w:r>
            <w:r w:rsidR="002E3922">
              <w:rPr>
                <w:rFonts w:eastAsiaTheme="minorEastAsia"/>
              </w:rPr>
              <w:t>09</w:t>
            </w:r>
          </w:p>
        </w:tc>
        <w:tc>
          <w:tcPr>
            <w:tcW w:w="6120" w:type="dxa"/>
          </w:tcPr>
          <w:p w14:paraId="43BA15EB" w14:textId="7E97399B" w:rsidR="008F271E" w:rsidRPr="00D6788E" w:rsidRDefault="008F271E" w:rsidP="008F271E">
            <w:pPr>
              <w:spacing w:before="120" w:after="120"/>
              <w:rPr>
                <w:i/>
                <w:iCs/>
              </w:rPr>
            </w:pPr>
            <w:r w:rsidRPr="00B153F9">
              <w:rPr>
                <w:rFonts w:eastAsiaTheme="minorEastAsia"/>
              </w:rPr>
              <w:t xml:space="preserve">Dispense atypical and complex </w:t>
            </w:r>
            <w:r w:rsidRPr="32AC43AE">
              <w:rPr>
                <w:rFonts w:eastAsiaTheme="minorEastAsia"/>
              </w:rPr>
              <w:t>prescriptions</w:t>
            </w:r>
            <w:r w:rsidRPr="00B153F9">
              <w:rPr>
                <w:rFonts w:eastAsiaTheme="minorEastAsia"/>
              </w:rPr>
              <w:t xml:space="preserve">  </w:t>
            </w:r>
          </w:p>
        </w:tc>
      </w:tr>
      <w:tr w:rsidR="008F271E" w14:paraId="7E2DE77B" w14:textId="77777777" w:rsidTr="790C396C">
        <w:trPr>
          <w:trHeight w:val="300"/>
        </w:trPr>
        <w:tc>
          <w:tcPr>
            <w:tcW w:w="2940" w:type="dxa"/>
          </w:tcPr>
          <w:p w14:paraId="589B288E" w14:textId="36AECEEE" w:rsidR="008F271E" w:rsidRPr="00D6788E" w:rsidRDefault="008F271E" w:rsidP="008F271E">
            <w:pPr>
              <w:spacing w:before="120" w:after="120"/>
              <w:rPr>
                <w:i/>
                <w:iCs/>
              </w:rPr>
            </w:pPr>
            <w:r w:rsidRPr="00D6788E">
              <w:rPr>
                <w:rFonts w:eastAsiaTheme="minorEastAsia"/>
              </w:rPr>
              <w:t>HLTOPD0</w:t>
            </w:r>
            <w:r w:rsidR="00132497">
              <w:rPr>
                <w:rFonts w:eastAsiaTheme="minorEastAsia"/>
              </w:rPr>
              <w:t>1</w:t>
            </w:r>
            <w:r w:rsidR="002E3922">
              <w:rPr>
                <w:rFonts w:eastAsiaTheme="minorEastAsia"/>
              </w:rPr>
              <w:t>1</w:t>
            </w:r>
          </w:p>
        </w:tc>
        <w:tc>
          <w:tcPr>
            <w:tcW w:w="6120" w:type="dxa"/>
          </w:tcPr>
          <w:p w14:paraId="536FAC32" w14:textId="77777777" w:rsidR="008F271E" w:rsidRPr="00D6788E" w:rsidRDefault="008F271E" w:rsidP="008F271E">
            <w:pPr>
              <w:spacing w:before="120" w:after="120"/>
              <w:rPr>
                <w:i/>
                <w:iCs/>
              </w:rPr>
            </w:pPr>
            <w:r w:rsidRPr="00D6788E">
              <w:rPr>
                <w:rFonts w:eastAsiaTheme="minorEastAsia"/>
              </w:rPr>
              <w:t>Process and manage optical appliance orders</w:t>
            </w:r>
          </w:p>
        </w:tc>
      </w:tr>
      <w:tr w:rsidR="008F271E" w14:paraId="4CB871A7" w14:textId="77777777" w:rsidTr="790C396C">
        <w:trPr>
          <w:trHeight w:val="300"/>
        </w:trPr>
        <w:tc>
          <w:tcPr>
            <w:tcW w:w="2940" w:type="dxa"/>
          </w:tcPr>
          <w:p w14:paraId="4E382385" w14:textId="6BF70EC3" w:rsidR="008F271E" w:rsidRPr="30367369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HLTWHS001</w:t>
            </w:r>
          </w:p>
        </w:tc>
        <w:tc>
          <w:tcPr>
            <w:tcW w:w="6120" w:type="dxa"/>
          </w:tcPr>
          <w:p w14:paraId="5AB7800E" w14:textId="7FFE4227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Participate in workplace health and safety</w:t>
            </w:r>
          </w:p>
        </w:tc>
      </w:tr>
    </w:tbl>
    <w:p w14:paraId="1099E9D5" w14:textId="5F927E9D" w:rsidR="790C396C" w:rsidRDefault="4C8B376A">
      <w:r>
        <w:t xml:space="preserve">*A mandatory workplace requirement is </w:t>
      </w:r>
      <w:r w:rsidR="00100CCB">
        <w:t>specified</w:t>
      </w:r>
      <w:r>
        <w:t xml:space="preserve"> in this unit.</w:t>
      </w:r>
    </w:p>
    <w:tbl>
      <w:tblPr>
        <w:tblStyle w:val="TableGrid"/>
        <w:tblW w:w="9060" w:type="dxa"/>
        <w:tblLayout w:type="fixed"/>
        <w:tblLook w:val="06A0" w:firstRow="1" w:lastRow="0" w:firstColumn="1" w:lastColumn="0" w:noHBand="1" w:noVBand="1"/>
      </w:tblPr>
      <w:tblGrid>
        <w:gridCol w:w="2972"/>
        <w:gridCol w:w="6088"/>
      </w:tblGrid>
      <w:tr w:rsidR="0087574C" w14:paraId="4BA87361" w14:textId="77777777" w:rsidTr="790C396C">
        <w:trPr>
          <w:trHeight w:val="300"/>
        </w:trPr>
        <w:tc>
          <w:tcPr>
            <w:tcW w:w="9060" w:type="dxa"/>
            <w:gridSpan w:val="2"/>
          </w:tcPr>
          <w:p w14:paraId="655010FC" w14:textId="77777777" w:rsidR="0087574C" w:rsidRPr="00D6788E" w:rsidRDefault="0087574C">
            <w:pPr>
              <w:rPr>
                <w:b/>
              </w:rPr>
            </w:pPr>
            <w:r w:rsidRPr="00D6788E">
              <w:rPr>
                <w:b/>
              </w:rPr>
              <w:t xml:space="preserve">Elective Units </w:t>
            </w:r>
          </w:p>
        </w:tc>
      </w:tr>
      <w:tr w:rsidR="00104D58" w14:paraId="610E62E4" w14:textId="77777777" w:rsidTr="790C396C">
        <w:trPr>
          <w:trHeight w:val="300"/>
        </w:trPr>
        <w:tc>
          <w:tcPr>
            <w:tcW w:w="9060" w:type="dxa"/>
            <w:gridSpan w:val="2"/>
          </w:tcPr>
          <w:p w14:paraId="27F79B52" w14:textId="4E9327A5" w:rsidR="00104D58" w:rsidRPr="004A1B4B" w:rsidRDefault="00104D58">
            <w:pPr>
              <w:rPr>
                <w:b/>
              </w:rPr>
            </w:pPr>
            <w:r w:rsidRPr="004A1B4B">
              <w:rPr>
                <w:b/>
              </w:rPr>
              <w:t>Optical</w:t>
            </w:r>
          </w:p>
        </w:tc>
      </w:tr>
      <w:tr w:rsidR="0087574C" w14:paraId="17113346" w14:textId="77777777" w:rsidTr="790C396C">
        <w:trPr>
          <w:trHeight w:val="300"/>
        </w:trPr>
        <w:tc>
          <w:tcPr>
            <w:tcW w:w="2972" w:type="dxa"/>
          </w:tcPr>
          <w:p w14:paraId="60FBBF0A" w14:textId="7E64C5BF" w:rsidR="0087574C" w:rsidRPr="00D6788E" w:rsidRDefault="0087574C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HLTOPD0</w:t>
            </w:r>
            <w:r w:rsidR="00AC0DEC">
              <w:rPr>
                <w:rFonts w:eastAsiaTheme="minorEastAsia"/>
              </w:rPr>
              <w:t>1</w:t>
            </w:r>
            <w:r w:rsidR="002E3922">
              <w:rPr>
                <w:rFonts w:eastAsiaTheme="minorEastAsia"/>
              </w:rPr>
              <w:t>0</w:t>
            </w:r>
          </w:p>
        </w:tc>
        <w:tc>
          <w:tcPr>
            <w:tcW w:w="6088" w:type="dxa"/>
          </w:tcPr>
          <w:p w14:paraId="34DCD62C" w14:textId="7B03244C" w:rsidR="0087574C" w:rsidRPr="00D6788E" w:rsidRDefault="0087574C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 xml:space="preserve">Edge and fit </w:t>
            </w:r>
            <w:r w:rsidR="008F271E">
              <w:rPr>
                <w:rFonts w:eastAsiaTheme="minorEastAsia"/>
              </w:rPr>
              <w:t>optical</w:t>
            </w:r>
            <w:r w:rsidR="008F271E" w:rsidRPr="00D6788E">
              <w:rPr>
                <w:rFonts w:eastAsiaTheme="minorEastAsia"/>
              </w:rPr>
              <w:t xml:space="preserve"> </w:t>
            </w:r>
            <w:r w:rsidRPr="00D6788E">
              <w:rPr>
                <w:rFonts w:eastAsiaTheme="minorEastAsia"/>
              </w:rPr>
              <w:t>appliances</w:t>
            </w:r>
          </w:p>
        </w:tc>
      </w:tr>
      <w:tr w:rsidR="00473CD1" w14:paraId="5031BCCD" w14:textId="77777777" w:rsidTr="790C396C">
        <w:trPr>
          <w:trHeight w:val="300"/>
        </w:trPr>
        <w:tc>
          <w:tcPr>
            <w:tcW w:w="9060" w:type="dxa"/>
            <w:gridSpan w:val="2"/>
          </w:tcPr>
          <w:p w14:paraId="5569A026" w14:textId="2D0E0F0F" w:rsidR="00473CD1" w:rsidRPr="00347D67" w:rsidRDefault="00473CD1" w:rsidP="0087574C">
            <w:pPr>
              <w:rPr>
                <w:rFonts w:eastAsiaTheme="minorEastAsia"/>
                <w:b/>
                <w:bCs/>
              </w:rPr>
            </w:pPr>
            <w:r w:rsidRPr="004A1B4B">
              <w:rPr>
                <w:rFonts w:eastAsiaTheme="minorEastAsia"/>
                <w:b/>
                <w:bCs/>
              </w:rPr>
              <w:t xml:space="preserve">Work </w:t>
            </w:r>
            <w:r w:rsidR="008F271E">
              <w:rPr>
                <w:rFonts w:eastAsiaTheme="minorEastAsia"/>
                <w:b/>
                <w:bCs/>
              </w:rPr>
              <w:t>h</w:t>
            </w:r>
            <w:r w:rsidRPr="004A1B4B">
              <w:rPr>
                <w:rFonts w:eastAsiaTheme="minorEastAsia"/>
                <w:b/>
                <w:bCs/>
              </w:rPr>
              <w:t xml:space="preserve">ealth and </w:t>
            </w:r>
            <w:r w:rsidR="008F271E">
              <w:rPr>
                <w:rFonts w:eastAsiaTheme="minorEastAsia"/>
                <w:b/>
                <w:bCs/>
              </w:rPr>
              <w:t>s</w:t>
            </w:r>
            <w:r w:rsidRPr="004A1B4B">
              <w:rPr>
                <w:rFonts w:eastAsiaTheme="minorEastAsia"/>
                <w:b/>
                <w:bCs/>
              </w:rPr>
              <w:t>afety</w:t>
            </w:r>
          </w:p>
        </w:tc>
      </w:tr>
      <w:tr w:rsidR="00653991" w:rsidDel="00B575D8" w14:paraId="1D63589E" w14:textId="77777777" w:rsidTr="790C396C">
        <w:trPr>
          <w:trHeight w:val="300"/>
        </w:trPr>
        <w:tc>
          <w:tcPr>
            <w:tcW w:w="2972" w:type="dxa"/>
          </w:tcPr>
          <w:p w14:paraId="1BE4DB02" w14:textId="74792336" w:rsidR="00653991" w:rsidRPr="00D6788E" w:rsidRDefault="00E152D3" w:rsidP="00653991">
            <w:pPr>
              <w:spacing w:before="120" w:after="120"/>
              <w:rPr>
                <w:rFonts w:eastAsiaTheme="minorEastAsia"/>
              </w:rPr>
            </w:pPr>
            <w:r w:rsidRPr="00E152D3">
              <w:rPr>
                <w:rFonts w:eastAsiaTheme="minorEastAsia"/>
              </w:rPr>
              <w:t>BSBWHS332X</w:t>
            </w:r>
          </w:p>
        </w:tc>
        <w:tc>
          <w:tcPr>
            <w:tcW w:w="6088" w:type="dxa"/>
          </w:tcPr>
          <w:p w14:paraId="35B289F5" w14:textId="681E11D7" w:rsidR="00653991" w:rsidRPr="00D6788E" w:rsidRDefault="009064EB" w:rsidP="00653991">
            <w:pPr>
              <w:spacing w:before="120" w:after="120"/>
              <w:rPr>
                <w:rFonts w:eastAsiaTheme="minorEastAsia"/>
              </w:rPr>
            </w:pPr>
            <w:r w:rsidRPr="009064EB">
              <w:rPr>
                <w:rFonts w:eastAsiaTheme="minorEastAsia"/>
              </w:rPr>
              <w:t>Apply infection prevention and control procedures to own work activities</w:t>
            </w:r>
          </w:p>
        </w:tc>
      </w:tr>
      <w:tr w:rsidR="32AC43AE" w14:paraId="13AC0068" w14:textId="77777777" w:rsidTr="32AC43AE">
        <w:trPr>
          <w:trHeight w:val="300"/>
        </w:trPr>
        <w:tc>
          <w:tcPr>
            <w:tcW w:w="2972" w:type="dxa"/>
          </w:tcPr>
          <w:p w14:paraId="6179D47E" w14:textId="77777777" w:rsidR="32AC43AE" w:rsidRDefault="32AC43AE" w:rsidP="32AC43AE">
            <w:pPr>
              <w:spacing w:before="120" w:after="120"/>
              <w:rPr>
                <w:rFonts w:eastAsiaTheme="minorEastAsia"/>
              </w:rPr>
            </w:pPr>
            <w:r w:rsidRPr="32AC43AE">
              <w:rPr>
                <w:rFonts w:eastAsiaTheme="minorEastAsia"/>
              </w:rPr>
              <w:t>HLTWHS003</w:t>
            </w:r>
          </w:p>
        </w:tc>
        <w:tc>
          <w:tcPr>
            <w:tcW w:w="6088" w:type="dxa"/>
          </w:tcPr>
          <w:p w14:paraId="25505FA9" w14:textId="77777777" w:rsidR="32AC43AE" w:rsidRDefault="32AC43AE" w:rsidP="32AC43AE">
            <w:pPr>
              <w:spacing w:before="120" w:after="120"/>
              <w:rPr>
                <w:rFonts w:eastAsiaTheme="minorEastAsia"/>
              </w:rPr>
            </w:pPr>
            <w:r w:rsidRPr="32AC43AE">
              <w:rPr>
                <w:rFonts w:eastAsiaTheme="minorEastAsia"/>
              </w:rPr>
              <w:t>Maintain work health and safety</w:t>
            </w:r>
          </w:p>
        </w:tc>
      </w:tr>
      <w:tr w:rsidR="00473CD1" w:rsidDel="00B575D8" w14:paraId="06C9B55B" w14:textId="77777777" w:rsidTr="790C396C">
        <w:trPr>
          <w:trHeight w:val="300"/>
        </w:trPr>
        <w:tc>
          <w:tcPr>
            <w:tcW w:w="9060" w:type="dxa"/>
            <w:gridSpan w:val="2"/>
          </w:tcPr>
          <w:p w14:paraId="2F73C141" w14:textId="400124A9" w:rsidR="00473CD1" w:rsidRPr="00347D67" w:rsidRDefault="00473CD1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347D67">
              <w:rPr>
                <w:rFonts w:eastAsiaTheme="minorEastAsia"/>
                <w:b/>
                <w:bCs/>
              </w:rPr>
              <w:lastRenderedPageBreak/>
              <w:t>Business operations</w:t>
            </w:r>
          </w:p>
        </w:tc>
      </w:tr>
      <w:tr w:rsidR="0087574C" w:rsidDel="00B575D8" w14:paraId="0D66BC71" w14:textId="77777777" w:rsidTr="790C396C">
        <w:trPr>
          <w:trHeight w:val="300"/>
        </w:trPr>
        <w:tc>
          <w:tcPr>
            <w:tcW w:w="2972" w:type="dxa"/>
          </w:tcPr>
          <w:p w14:paraId="053B385F" w14:textId="77777777" w:rsidR="0087574C" w:rsidRPr="00D6788E" w:rsidDel="008F599C" w:rsidRDefault="0087574C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BSBOPS301</w:t>
            </w:r>
          </w:p>
        </w:tc>
        <w:tc>
          <w:tcPr>
            <w:tcW w:w="6088" w:type="dxa"/>
          </w:tcPr>
          <w:p w14:paraId="4BEE3B53" w14:textId="1D0B1FB7" w:rsidR="0087574C" w:rsidRPr="00D6788E" w:rsidDel="008F599C" w:rsidRDefault="0087574C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 xml:space="preserve">Maintain </w:t>
            </w:r>
            <w:r w:rsidR="008F271E">
              <w:rPr>
                <w:rFonts w:eastAsiaTheme="minorEastAsia"/>
              </w:rPr>
              <w:t>b</w:t>
            </w:r>
            <w:r w:rsidRPr="00D6788E">
              <w:rPr>
                <w:rFonts w:eastAsiaTheme="minorEastAsia"/>
              </w:rPr>
              <w:t xml:space="preserve">usiness </w:t>
            </w:r>
            <w:r w:rsidR="008F271E">
              <w:rPr>
                <w:rFonts w:eastAsiaTheme="minorEastAsia"/>
              </w:rPr>
              <w:t>r</w:t>
            </w:r>
            <w:r w:rsidRPr="00D6788E">
              <w:rPr>
                <w:rFonts w:eastAsiaTheme="minorEastAsia"/>
              </w:rPr>
              <w:t>esources</w:t>
            </w:r>
          </w:p>
        </w:tc>
      </w:tr>
      <w:tr w:rsidR="008F271E" w:rsidDel="00B575D8" w14:paraId="4AEFCF9B" w14:textId="77777777" w:rsidTr="790C396C">
        <w:trPr>
          <w:trHeight w:val="300"/>
        </w:trPr>
        <w:tc>
          <w:tcPr>
            <w:tcW w:w="2972" w:type="dxa"/>
          </w:tcPr>
          <w:p w14:paraId="63D62FAC" w14:textId="21B1DD1E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BSBOPS305</w:t>
            </w:r>
          </w:p>
        </w:tc>
        <w:tc>
          <w:tcPr>
            <w:tcW w:w="6088" w:type="dxa"/>
          </w:tcPr>
          <w:p w14:paraId="2AEFC1F0" w14:textId="3F7C7ED2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Process customer complaints</w:t>
            </w:r>
          </w:p>
        </w:tc>
      </w:tr>
      <w:tr w:rsidR="008F271E" w:rsidDel="00B575D8" w14:paraId="476D0D28" w14:textId="77777777" w:rsidTr="790C396C">
        <w:trPr>
          <w:trHeight w:val="300"/>
        </w:trPr>
        <w:tc>
          <w:tcPr>
            <w:tcW w:w="2972" w:type="dxa"/>
          </w:tcPr>
          <w:p w14:paraId="76C3B228" w14:textId="4ECC77F0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EF3798">
              <w:rPr>
                <w:rFonts w:eastAsiaTheme="minorEastAsia"/>
              </w:rPr>
              <w:t>BSBOPS404</w:t>
            </w:r>
          </w:p>
        </w:tc>
        <w:tc>
          <w:tcPr>
            <w:tcW w:w="6088" w:type="dxa"/>
          </w:tcPr>
          <w:p w14:paraId="4C969208" w14:textId="1521FE78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EF3798">
              <w:rPr>
                <w:rFonts w:eastAsiaTheme="minorEastAsia"/>
              </w:rPr>
              <w:t>Implement customer service strategies</w:t>
            </w:r>
          </w:p>
        </w:tc>
      </w:tr>
      <w:tr w:rsidR="008F271E" w:rsidRPr="008F271E" w:rsidDel="00B575D8" w14:paraId="678E2842" w14:textId="77777777" w:rsidTr="790C396C">
        <w:trPr>
          <w:trHeight w:val="300"/>
        </w:trPr>
        <w:tc>
          <w:tcPr>
            <w:tcW w:w="9060" w:type="dxa"/>
            <w:gridSpan w:val="2"/>
          </w:tcPr>
          <w:p w14:paraId="1F85B56F" w14:textId="1068585C" w:rsidR="008F271E" w:rsidRPr="00347D67" w:rsidRDefault="008F271E" w:rsidP="008F271E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347D67">
              <w:rPr>
                <w:rFonts w:eastAsiaTheme="minorEastAsia"/>
                <w:b/>
                <w:bCs/>
              </w:rPr>
              <w:t xml:space="preserve">Personal </w:t>
            </w:r>
            <w:r>
              <w:rPr>
                <w:rFonts w:eastAsiaTheme="minorEastAsia"/>
                <w:b/>
                <w:bCs/>
              </w:rPr>
              <w:t>e</w:t>
            </w:r>
            <w:r w:rsidRPr="00347D67">
              <w:rPr>
                <w:rFonts w:eastAsiaTheme="minorEastAsia"/>
                <w:b/>
                <w:bCs/>
              </w:rPr>
              <w:t>ffectiveness</w:t>
            </w:r>
          </w:p>
        </w:tc>
      </w:tr>
      <w:tr w:rsidR="008F271E" w:rsidDel="00B575D8" w14:paraId="12DA0029" w14:textId="77777777" w:rsidTr="790C396C">
        <w:trPr>
          <w:trHeight w:val="300"/>
        </w:trPr>
        <w:tc>
          <w:tcPr>
            <w:tcW w:w="2972" w:type="dxa"/>
          </w:tcPr>
          <w:p w14:paraId="05463B0B" w14:textId="77777777" w:rsidR="008F271E" w:rsidRPr="00D6788E" w:rsidDel="008F599C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BSBPEF402</w:t>
            </w:r>
          </w:p>
        </w:tc>
        <w:tc>
          <w:tcPr>
            <w:tcW w:w="6088" w:type="dxa"/>
          </w:tcPr>
          <w:p w14:paraId="7253C5D9" w14:textId="77777777" w:rsidR="008F271E" w:rsidRPr="00D6788E" w:rsidDel="008F599C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 xml:space="preserve">Develop personal work priorities </w:t>
            </w:r>
          </w:p>
        </w:tc>
      </w:tr>
      <w:tr w:rsidR="008F271E" w14:paraId="234DB105" w14:textId="77777777" w:rsidTr="790C396C">
        <w:trPr>
          <w:trHeight w:val="300"/>
        </w:trPr>
        <w:tc>
          <w:tcPr>
            <w:tcW w:w="9060" w:type="dxa"/>
            <w:gridSpan w:val="2"/>
          </w:tcPr>
          <w:p w14:paraId="1AC8C581" w14:textId="356E0FC9" w:rsidR="008F271E" w:rsidRPr="00347D67" w:rsidRDefault="008F271E" w:rsidP="008F271E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347D67">
              <w:rPr>
                <w:rFonts w:eastAsiaTheme="minorEastAsia"/>
                <w:b/>
                <w:bCs/>
              </w:rPr>
              <w:t>Sales</w:t>
            </w:r>
          </w:p>
        </w:tc>
      </w:tr>
      <w:tr w:rsidR="008F271E" w14:paraId="53E15CF4" w14:textId="77777777" w:rsidTr="790C396C">
        <w:trPr>
          <w:trHeight w:val="300"/>
        </w:trPr>
        <w:tc>
          <w:tcPr>
            <w:tcW w:w="2972" w:type="dxa"/>
          </w:tcPr>
          <w:p w14:paraId="08A095F5" w14:textId="77777777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SIRWSLS002</w:t>
            </w:r>
          </w:p>
        </w:tc>
        <w:tc>
          <w:tcPr>
            <w:tcW w:w="6088" w:type="dxa"/>
          </w:tcPr>
          <w:p w14:paraId="13A59F6A" w14:textId="77777777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Analyse and achieve sales targets</w:t>
            </w:r>
          </w:p>
        </w:tc>
      </w:tr>
      <w:tr w:rsidR="008F271E" w14:paraId="5B825948" w14:textId="77777777" w:rsidTr="790C396C">
        <w:trPr>
          <w:trHeight w:val="300"/>
        </w:trPr>
        <w:tc>
          <w:tcPr>
            <w:tcW w:w="2972" w:type="dxa"/>
          </w:tcPr>
          <w:p w14:paraId="7933BF5F" w14:textId="0E128CBA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30367369">
              <w:rPr>
                <w:rFonts w:eastAsiaTheme="minorEastAsia"/>
              </w:rPr>
              <w:t>SIRXSLS001</w:t>
            </w:r>
          </w:p>
        </w:tc>
        <w:tc>
          <w:tcPr>
            <w:tcW w:w="6088" w:type="dxa"/>
          </w:tcPr>
          <w:p w14:paraId="514191C7" w14:textId="78AD8419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30367369">
              <w:rPr>
                <w:rFonts w:eastAsiaTheme="minorEastAsia"/>
              </w:rPr>
              <w:t>Sell to the retail customer</w:t>
            </w:r>
          </w:p>
        </w:tc>
      </w:tr>
      <w:tr w:rsidR="008F271E" w14:paraId="36B7051E" w14:textId="77777777" w:rsidTr="790C396C">
        <w:trPr>
          <w:trHeight w:val="300"/>
        </w:trPr>
        <w:tc>
          <w:tcPr>
            <w:tcW w:w="9060" w:type="dxa"/>
            <w:gridSpan w:val="2"/>
          </w:tcPr>
          <w:p w14:paraId="509D1EE5" w14:textId="33B1ACB1" w:rsidR="008F271E" w:rsidRPr="00347D67" w:rsidRDefault="008F271E" w:rsidP="008F271E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347D67">
              <w:rPr>
                <w:rFonts w:eastAsiaTheme="minorEastAsia"/>
                <w:b/>
                <w:bCs/>
              </w:rPr>
              <w:t xml:space="preserve">Customer </w:t>
            </w:r>
            <w:r>
              <w:rPr>
                <w:rFonts w:eastAsiaTheme="minorEastAsia"/>
                <w:b/>
                <w:bCs/>
              </w:rPr>
              <w:t>e</w:t>
            </w:r>
            <w:r w:rsidRPr="00347D67">
              <w:rPr>
                <w:rFonts w:eastAsiaTheme="minorEastAsia"/>
                <w:b/>
                <w:bCs/>
              </w:rPr>
              <w:t>ngagement</w:t>
            </w:r>
          </w:p>
        </w:tc>
      </w:tr>
      <w:tr w:rsidR="008F271E" w14:paraId="4F072FC3" w14:textId="77777777" w:rsidTr="790C396C">
        <w:trPr>
          <w:trHeight w:val="300"/>
        </w:trPr>
        <w:tc>
          <w:tcPr>
            <w:tcW w:w="2972" w:type="dxa"/>
          </w:tcPr>
          <w:p w14:paraId="52D0D526" w14:textId="70960E30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7158C059">
              <w:rPr>
                <w:rFonts w:eastAsiaTheme="minorEastAsia"/>
              </w:rPr>
              <w:t>CHCCCS020</w:t>
            </w:r>
          </w:p>
        </w:tc>
        <w:tc>
          <w:tcPr>
            <w:tcW w:w="6088" w:type="dxa"/>
          </w:tcPr>
          <w:p w14:paraId="308DE7ED" w14:textId="3D024876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7158C059">
              <w:rPr>
                <w:rFonts w:eastAsiaTheme="minorEastAsia"/>
              </w:rPr>
              <w:t>Respond effectively to behaviours of concern</w:t>
            </w:r>
          </w:p>
        </w:tc>
      </w:tr>
      <w:tr w:rsidR="008F271E" w14:paraId="5D997344" w14:textId="77777777" w:rsidTr="790C396C">
        <w:trPr>
          <w:trHeight w:val="300"/>
        </w:trPr>
        <w:tc>
          <w:tcPr>
            <w:tcW w:w="2972" w:type="dxa"/>
          </w:tcPr>
          <w:p w14:paraId="07B7E65E" w14:textId="423AD4A6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SIRXCEG001</w:t>
            </w:r>
          </w:p>
        </w:tc>
        <w:tc>
          <w:tcPr>
            <w:tcW w:w="6088" w:type="dxa"/>
          </w:tcPr>
          <w:p w14:paraId="350D62F0" w14:textId="65FCAFAE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Engage the customer</w:t>
            </w:r>
          </w:p>
        </w:tc>
      </w:tr>
      <w:tr w:rsidR="008F271E" w14:paraId="7B59410A" w14:textId="77777777" w:rsidTr="790C396C">
        <w:trPr>
          <w:trHeight w:val="300"/>
        </w:trPr>
        <w:tc>
          <w:tcPr>
            <w:tcW w:w="2972" w:type="dxa"/>
          </w:tcPr>
          <w:p w14:paraId="62E7EEFD" w14:textId="29EC9C13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SIRXCEG008</w:t>
            </w:r>
          </w:p>
        </w:tc>
        <w:tc>
          <w:tcPr>
            <w:tcW w:w="6088" w:type="dxa"/>
          </w:tcPr>
          <w:p w14:paraId="76C84057" w14:textId="40A06330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Manage disrespectful, aggressive or abusive customers</w:t>
            </w:r>
          </w:p>
        </w:tc>
      </w:tr>
      <w:tr w:rsidR="008F271E" w14:paraId="52604846" w14:textId="77777777" w:rsidTr="790C396C">
        <w:trPr>
          <w:trHeight w:val="300"/>
        </w:trPr>
        <w:tc>
          <w:tcPr>
            <w:tcW w:w="9060" w:type="dxa"/>
            <w:gridSpan w:val="2"/>
          </w:tcPr>
          <w:p w14:paraId="275DBE75" w14:textId="636D5D2F" w:rsidR="008F271E" w:rsidRPr="00347D67" w:rsidRDefault="008F271E" w:rsidP="008F271E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347D67">
              <w:rPr>
                <w:rFonts w:eastAsiaTheme="minorEastAsia"/>
                <w:b/>
                <w:bCs/>
              </w:rPr>
              <w:t xml:space="preserve">Inventory and </w:t>
            </w:r>
            <w:r>
              <w:rPr>
                <w:rFonts w:eastAsiaTheme="minorEastAsia"/>
                <w:b/>
                <w:bCs/>
              </w:rPr>
              <w:t>m</w:t>
            </w:r>
            <w:r w:rsidRPr="00347D67">
              <w:rPr>
                <w:rFonts w:eastAsiaTheme="minorEastAsia"/>
                <w:b/>
                <w:bCs/>
              </w:rPr>
              <w:t>erchandising</w:t>
            </w:r>
          </w:p>
        </w:tc>
      </w:tr>
      <w:tr w:rsidR="008F271E" w14:paraId="563372C2" w14:textId="77777777" w:rsidTr="790C396C">
        <w:trPr>
          <w:trHeight w:val="300"/>
        </w:trPr>
        <w:tc>
          <w:tcPr>
            <w:tcW w:w="2972" w:type="dxa"/>
          </w:tcPr>
          <w:p w14:paraId="310FD56A" w14:textId="77777777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SIRRINV001</w:t>
            </w:r>
          </w:p>
        </w:tc>
        <w:tc>
          <w:tcPr>
            <w:tcW w:w="6088" w:type="dxa"/>
          </w:tcPr>
          <w:p w14:paraId="477B09CA" w14:textId="77777777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Receive and handle retail stock</w:t>
            </w:r>
          </w:p>
        </w:tc>
      </w:tr>
      <w:tr w:rsidR="008F271E" w14:paraId="724A800C" w14:textId="77777777" w:rsidTr="790C396C">
        <w:trPr>
          <w:trHeight w:val="300"/>
        </w:trPr>
        <w:tc>
          <w:tcPr>
            <w:tcW w:w="2972" w:type="dxa"/>
          </w:tcPr>
          <w:p w14:paraId="0EC6574B" w14:textId="77777777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SIRRMER003</w:t>
            </w:r>
          </w:p>
        </w:tc>
        <w:tc>
          <w:tcPr>
            <w:tcW w:w="6088" w:type="dxa"/>
          </w:tcPr>
          <w:p w14:paraId="6A0F916A" w14:textId="77777777" w:rsidR="008F271E" w:rsidRPr="00D6788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D6788E">
              <w:rPr>
                <w:rFonts w:eastAsiaTheme="minorEastAsia"/>
              </w:rPr>
              <w:t>Coordinate visual merchandising activities</w:t>
            </w:r>
          </w:p>
        </w:tc>
      </w:tr>
      <w:tr w:rsidR="008F271E" w14:paraId="6032ABC9" w14:textId="77777777" w:rsidTr="790C396C">
        <w:trPr>
          <w:trHeight w:val="300"/>
        </w:trPr>
        <w:tc>
          <w:tcPr>
            <w:tcW w:w="9060" w:type="dxa"/>
            <w:gridSpan w:val="2"/>
          </w:tcPr>
          <w:p w14:paraId="58B62EEA" w14:textId="2ABB9443" w:rsidR="008F271E" w:rsidRPr="00347D67" w:rsidRDefault="008F271E" w:rsidP="008F271E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347D67">
              <w:rPr>
                <w:rFonts w:eastAsiaTheme="minorEastAsia"/>
                <w:b/>
                <w:bCs/>
              </w:rPr>
              <w:t>Support</w:t>
            </w:r>
          </w:p>
        </w:tc>
      </w:tr>
      <w:tr w:rsidR="008F271E" w14:paraId="693F83BA" w14:textId="77777777" w:rsidTr="790C396C">
        <w:trPr>
          <w:trHeight w:val="300"/>
        </w:trPr>
        <w:tc>
          <w:tcPr>
            <w:tcW w:w="2972" w:type="dxa"/>
          </w:tcPr>
          <w:p w14:paraId="536D8020" w14:textId="759CB3C1" w:rsidR="008F271E" w:rsidRPr="008F271E" w:rsidRDefault="006618D3" w:rsidP="008F271E">
            <w:pPr>
              <w:spacing w:before="120" w:after="120"/>
              <w:rPr>
                <w:rFonts w:eastAsiaTheme="minorEastAsia"/>
              </w:rPr>
            </w:pPr>
            <w:r w:rsidRPr="006618D3">
              <w:rPr>
                <w:rFonts w:eastAsiaTheme="minorEastAsia"/>
              </w:rPr>
              <w:t>BSBXTW301</w:t>
            </w:r>
          </w:p>
        </w:tc>
        <w:tc>
          <w:tcPr>
            <w:tcW w:w="6088" w:type="dxa"/>
          </w:tcPr>
          <w:p w14:paraId="2AD93128" w14:textId="667EB20A" w:rsidR="008F271E" w:rsidRPr="008F271E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CB1B68">
              <w:rPr>
                <w:rFonts w:eastAsiaTheme="minorEastAsia"/>
              </w:rPr>
              <w:t>Work in a team</w:t>
            </w:r>
          </w:p>
        </w:tc>
      </w:tr>
      <w:tr w:rsidR="008F271E" w14:paraId="2774E3D3" w14:textId="77777777" w:rsidTr="790C396C">
        <w:trPr>
          <w:trHeight w:val="300"/>
        </w:trPr>
        <w:tc>
          <w:tcPr>
            <w:tcW w:w="2972" w:type="dxa"/>
          </w:tcPr>
          <w:p w14:paraId="4FB3DA4B" w14:textId="56790F84" w:rsidR="008F271E" w:rsidRPr="00347D67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347D67">
              <w:rPr>
                <w:rFonts w:eastAsiaTheme="minorEastAsia"/>
              </w:rPr>
              <w:t>MSMSUP390</w:t>
            </w:r>
          </w:p>
        </w:tc>
        <w:tc>
          <w:tcPr>
            <w:tcW w:w="6088" w:type="dxa"/>
          </w:tcPr>
          <w:p w14:paraId="09233A01" w14:textId="50FC78B0" w:rsidR="008F271E" w:rsidRPr="00347D67" w:rsidRDefault="008F271E" w:rsidP="008F271E">
            <w:pPr>
              <w:spacing w:before="120" w:after="120"/>
              <w:rPr>
                <w:rFonts w:eastAsiaTheme="minorEastAsia"/>
              </w:rPr>
            </w:pPr>
            <w:r w:rsidRPr="00347D67">
              <w:rPr>
                <w:rFonts w:eastAsiaTheme="minorEastAsia"/>
              </w:rPr>
              <w:t>Use structured problem-solving tools</w:t>
            </w:r>
          </w:p>
        </w:tc>
      </w:tr>
    </w:tbl>
    <w:p w14:paraId="7B9E70C4" w14:textId="77777777" w:rsidR="008F271E" w:rsidRDefault="008F271E"/>
    <w:tbl>
      <w:tblPr>
        <w:tblW w:w="9062" w:type="dxa"/>
        <w:tblInd w:w="5" w:type="dxa"/>
        <w:shd w:val="clear" w:color="auto" w:fill="D9D9D9" w:themeFill="background1" w:themeFillShade="D9"/>
        <w:tblCellMar>
          <w:top w:w="27" w:type="dxa"/>
          <w:left w:w="80" w:type="dxa"/>
          <w:right w:w="62" w:type="dxa"/>
        </w:tblCellMar>
        <w:tblLook w:val="04A0" w:firstRow="1" w:lastRow="0" w:firstColumn="1" w:lastColumn="0" w:noHBand="0" w:noVBand="1"/>
      </w:tblPr>
      <w:tblGrid>
        <w:gridCol w:w="2967"/>
        <w:gridCol w:w="6095"/>
      </w:tblGrid>
      <w:tr w:rsidR="008F271E" w:rsidRPr="00A85773" w14:paraId="5BA862D1" w14:textId="77777777" w:rsidTr="00347D67">
        <w:trPr>
          <w:trHeight w:val="950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1ABAC1" w14:textId="77777777" w:rsidR="008F271E" w:rsidRPr="008F7BCF" w:rsidRDefault="008F271E">
            <w:pPr>
              <w:spacing w:after="120"/>
              <w:rPr>
                <w:i/>
                <w:iCs/>
              </w:rPr>
            </w:pPr>
            <w:r w:rsidRPr="00233FB9">
              <w:rPr>
                <w:b/>
                <w:bCs/>
                <w:color w:val="000000" w:themeColor="text1"/>
              </w:rPr>
              <w:t>Qualification mapping information</w:t>
            </w:r>
          </w:p>
        </w:tc>
        <w:tc>
          <w:tcPr>
            <w:tcW w:w="609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7B4239" w14:textId="04E9C327" w:rsidR="008F271E" w:rsidRPr="008E5A9C" w:rsidRDefault="009F796B" w:rsidP="00347D67">
            <w:pPr>
              <w:spacing w:before="120" w:after="120"/>
              <w:rPr>
                <w:i/>
                <w:iCs/>
              </w:rPr>
            </w:pPr>
            <w:r>
              <w:rPr>
                <w:rFonts w:ascii="Aptos" w:hAnsi="Aptos"/>
                <w:i/>
                <w:iCs/>
                <w:color w:val="000000"/>
              </w:rPr>
              <w:t>HLT47825 Certificate IV in Optical Dispensing s</w:t>
            </w:r>
            <w:r>
              <w:rPr>
                <w:rFonts w:ascii="Aptos" w:hAnsi="Aptos"/>
                <w:color w:val="000000"/>
              </w:rPr>
              <w:t>upersedes and is not equivalent to</w:t>
            </w:r>
            <w:r>
              <w:rPr>
                <w:rStyle w:val="apple-converted-space"/>
                <w:rFonts w:ascii="Aptos" w:hAnsi="Aptos"/>
                <w:color w:val="000000"/>
              </w:rPr>
              <w:t> </w:t>
            </w:r>
            <w:r>
              <w:rPr>
                <w:rFonts w:ascii="Aptos" w:hAnsi="Aptos"/>
                <w:i/>
                <w:iCs/>
                <w:color w:val="000000"/>
              </w:rPr>
              <w:t>HLT47815 Certificate IV in Optical Dispensing</w:t>
            </w:r>
          </w:p>
        </w:tc>
      </w:tr>
      <w:tr w:rsidR="008F271E" w:rsidRPr="00A85773" w14:paraId="4B9A1227" w14:textId="77777777" w:rsidTr="00347D67">
        <w:trPr>
          <w:trHeight w:val="733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F5B890" w14:textId="7F08EB2F" w:rsidR="008F271E" w:rsidRPr="008E5A9C" w:rsidRDefault="008F271E" w:rsidP="008F0002">
            <w:pPr>
              <w:spacing w:after="120"/>
              <w:rPr>
                <w:i/>
                <w:iCs/>
              </w:rPr>
            </w:pPr>
            <w:r w:rsidRPr="00233FB9">
              <w:rPr>
                <w:b/>
                <w:bCs/>
              </w:rPr>
              <w:t>Links</w:t>
            </w:r>
          </w:p>
        </w:tc>
        <w:tc>
          <w:tcPr>
            <w:tcW w:w="609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3B64FE4" w14:textId="77777777" w:rsidR="008F271E" w:rsidRPr="00233FB9" w:rsidRDefault="008F271E">
            <w:pPr>
              <w:spacing w:after="120"/>
            </w:pPr>
            <w:r>
              <w:t>Link to Companion Volume Implementation Guide.</w:t>
            </w:r>
          </w:p>
          <w:p w14:paraId="6423C71A" w14:textId="77777777" w:rsidR="008F271E" w:rsidRDefault="008F271E">
            <w:pPr>
              <w:spacing w:after="120"/>
            </w:pPr>
            <w:hyperlink r:id="rId9">
              <w:r w:rsidRPr="3B91EB78">
                <w:rPr>
                  <w:rStyle w:val="Hyperlink"/>
                  <w:rFonts w:ascii="Verdana" w:eastAsia="Verdana" w:hAnsi="Verdana" w:cs="Verdana"/>
                  <w:color w:val="034AF3"/>
                  <w:sz w:val="18"/>
                  <w:szCs w:val="18"/>
                </w:rPr>
                <w:t>https://vetnet.gov.au/Pages/TrainingDocs.aspx?q=ced1390f-48d9-4ab0-bd50-b015e5485705</w:t>
              </w:r>
            </w:hyperlink>
          </w:p>
        </w:tc>
      </w:tr>
    </w:tbl>
    <w:p w14:paraId="6BE9E1A6" w14:textId="2BC931CC" w:rsidR="0087574C" w:rsidRDefault="0087574C" w:rsidP="008F271E"/>
    <w:sectPr w:rsidR="00875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920C3"/>
    <w:multiLevelType w:val="hybridMultilevel"/>
    <w:tmpl w:val="3A1A8826"/>
    <w:lvl w:ilvl="0" w:tplc="9D8A5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43E5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C45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A8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3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C0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EC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82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85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062624"/>
    <w:multiLevelType w:val="hybridMultilevel"/>
    <w:tmpl w:val="6B089B00"/>
    <w:lvl w:ilvl="0" w:tplc="A4F61E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96EAEB"/>
    <w:multiLevelType w:val="hybridMultilevel"/>
    <w:tmpl w:val="FFFFFFFF"/>
    <w:lvl w:ilvl="0" w:tplc="90D83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62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C2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04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AB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E9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22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0B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A7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E558A"/>
    <w:multiLevelType w:val="hybridMultilevel"/>
    <w:tmpl w:val="A7363926"/>
    <w:lvl w:ilvl="0" w:tplc="BB902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2D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08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4C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0A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8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8E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E6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23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5839D"/>
    <w:multiLevelType w:val="hybridMultilevel"/>
    <w:tmpl w:val="FFFFFFFF"/>
    <w:lvl w:ilvl="0" w:tplc="09160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85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80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8D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C3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4B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06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62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8A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423274">
    <w:abstractNumId w:val="3"/>
  </w:num>
  <w:num w:numId="2" w16cid:durableId="1801455459">
    <w:abstractNumId w:val="0"/>
  </w:num>
  <w:num w:numId="3" w16cid:durableId="1417746231">
    <w:abstractNumId w:val="1"/>
  </w:num>
  <w:num w:numId="4" w16cid:durableId="2068990709">
    <w:abstractNumId w:val="2"/>
  </w:num>
  <w:num w:numId="5" w16cid:durableId="1293169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4C"/>
    <w:rsid w:val="00012FA1"/>
    <w:rsid w:val="00013E23"/>
    <w:rsid w:val="00042352"/>
    <w:rsid w:val="0006269E"/>
    <w:rsid w:val="00085FE6"/>
    <w:rsid w:val="00092E0E"/>
    <w:rsid w:val="000C0A32"/>
    <w:rsid w:val="000D3002"/>
    <w:rsid w:val="000F01A3"/>
    <w:rsid w:val="000F5644"/>
    <w:rsid w:val="00100CCB"/>
    <w:rsid w:val="0010149C"/>
    <w:rsid w:val="00104D58"/>
    <w:rsid w:val="00132497"/>
    <w:rsid w:val="00136790"/>
    <w:rsid w:val="0015283D"/>
    <w:rsid w:val="00161463"/>
    <w:rsid w:val="00175E73"/>
    <w:rsid w:val="00185575"/>
    <w:rsid w:val="001A1CC5"/>
    <w:rsid w:val="0020083C"/>
    <w:rsid w:val="00200897"/>
    <w:rsid w:val="00202F5D"/>
    <w:rsid w:val="002239FC"/>
    <w:rsid w:val="00243BAA"/>
    <w:rsid w:val="00255277"/>
    <w:rsid w:val="00263471"/>
    <w:rsid w:val="00273C70"/>
    <w:rsid w:val="00282852"/>
    <w:rsid w:val="00294B11"/>
    <w:rsid w:val="002A14EA"/>
    <w:rsid w:val="002A38D5"/>
    <w:rsid w:val="002B44B1"/>
    <w:rsid w:val="002E3922"/>
    <w:rsid w:val="002E4A84"/>
    <w:rsid w:val="002F756E"/>
    <w:rsid w:val="003019C4"/>
    <w:rsid w:val="0030293C"/>
    <w:rsid w:val="00303E5F"/>
    <w:rsid w:val="0032319C"/>
    <w:rsid w:val="00325938"/>
    <w:rsid w:val="003363BE"/>
    <w:rsid w:val="003402EC"/>
    <w:rsid w:val="00347D67"/>
    <w:rsid w:val="003524B8"/>
    <w:rsid w:val="00355A84"/>
    <w:rsid w:val="00363D4E"/>
    <w:rsid w:val="00375DCD"/>
    <w:rsid w:val="00376E9C"/>
    <w:rsid w:val="00390107"/>
    <w:rsid w:val="00392FE9"/>
    <w:rsid w:val="0039712B"/>
    <w:rsid w:val="003A7A81"/>
    <w:rsid w:val="003B0D3C"/>
    <w:rsid w:val="003C261F"/>
    <w:rsid w:val="003F428F"/>
    <w:rsid w:val="0041067D"/>
    <w:rsid w:val="004428B1"/>
    <w:rsid w:val="00446CA5"/>
    <w:rsid w:val="004475DA"/>
    <w:rsid w:val="00450A9C"/>
    <w:rsid w:val="00457D91"/>
    <w:rsid w:val="00473CD1"/>
    <w:rsid w:val="00491B43"/>
    <w:rsid w:val="004A1B4B"/>
    <w:rsid w:val="004A4888"/>
    <w:rsid w:val="004A7CB9"/>
    <w:rsid w:val="004D3105"/>
    <w:rsid w:val="004D4450"/>
    <w:rsid w:val="004D451E"/>
    <w:rsid w:val="004D6B3A"/>
    <w:rsid w:val="004E0413"/>
    <w:rsid w:val="004E43EA"/>
    <w:rsid w:val="004F47B6"/>
    <w:rsid w:val="00505CAE"/>
    <w:rsid w:val="005200A8"/>
    <w:rsid w:val="00536E01"/>
    <w:rsid w:val="005616C3"/>
    <w:rsid w:val="00572AA7"/>
    <w:rsid w:val="00576AA6"/>
    <w:rsid w:val="005C2D42"/>
    <w:rsid w:val="005C5517"/>
    <w:rsid w:val="005C5D21"/>
    <w:rsid w:val="005D5473"/>
    <w:rsid w:val="00603ABF"/>
    <w:rsid w:val="006162E5"/>
    <w:rsid w:val="0061692E"/>
    <w:rsid w:val="0062580F"/>
    <w:rsid w:val="00626874"/>
    <w:rsid w:val="006348CE"/>
    <w:rsid w:val="00653991"/>
    <w:rsid w:val="006618D3"/>
    <w:rsid w:val="00683E8F"/>
    <w:rsid w:val="006A5DE7"/>
    <w:rsid w:val="006B37BD"/>
    <w:rsid w:val="006B7F28"/>
    <w:rsid w:val="006C212B"/>
    <w:rsid w:val="006C4DB5"/>
    <w:rsid w:val="006E07BD"/>
    <w:rsid w:val="006E0D1A"/>
    <w:rsid w:val="006E1D3B"/>
    <w:rsid w:val="006F21BE"/>
    <w:rsid w:val="00703BFD"/>
    <w:rsid w:val="00706850"/>
    <w:rsid w:val="00720CEB"/>
    <w:rsid w:val="0072216F"/>
    <w:rsid w:val="00741623"/>
    <w:rsid w:val="00741C13"/>
    <w:rsid w:val="00746F34"/>
    <w:rsid w:val="00751ED2"/>
    <w:rsid w:val="00764A92"/>
    <w:rsid w:val="0076540F"/>
    <w:rsid w:val="00767F34"/>
    <w:rsid w:val="00785787"/>
    <w:rsid w:val="0079239B"/>
    <w:rsid w:val="007924B6"/>
    <w:rsid w:val="007A39AD"/>
    <w:rsid w:val="007B48C7"/>
    <w:rsid w:val="007B4A4E"/>
    <w:rsid w:val="007C081B"/>
    <w:rsid w:val="007E099A"/>
    <w:rsid w:val="007F2AAB"/>
    <w:rsid w:val="00801CCE"/>
    <w:rsid w:val="008101DD"/>
    <w:rsid w:val="00821BC0"/>
    <w:rsid w:val="0082410D"/>
    <w:rsid w:val="0082575E"/>
    <w:rsid w:val="00832C1E"/>
    <w:rsid w:val="00837C18"/>
    <w:rsid w:val="008448D7"/>
    <w:rsid w:val="008474A7"/>
    <w:rsid w:val="00853538"/>
    <w:rsid w:val="00854D0E"/>
    <w:rsid w:val="0087574C"/>
    <w:rsid w:val="008862E7"/>
    <w:rsid w:val="008B2AC5"/>
    <w:rsid w:val="008E5587"/>
    <w:rsid w:val="008E74A0"/>
    <w:rsid w:val="008F0002"/>
    <w:rsid w:val="008F25E3"/>
    <w:rsid w:val="008F271E"/>
    <w:rsid w:val="008F5052"/>
    <w:rsid w:val="00904819"/>
    <w:rsid w:val="009064EB"/>
    <w:rsid w:val="00907438"/>
    <w:rsid w:val="009121B9"/>
    <w:rsid w:val="0091693A"/>
    <w:rsid w:val="00924184"/>
    <w:rsid w:val="00937175"/>
    <w:rsid w:val="00952618"/>
    <w:rsid w:val="00954DAC"/>
    <w:rsid w:val="00957BD8"/>
    <w:rsid w:val="00967CBA"/>
    <w:rsid w:val="00973FC8"/>
    <w:rsid w:val="009975F8"/>
    <w:rsid w:val="009D4AF2"/>
    <w:rsid w:val="009E1440"/>
    <w:rsid w:val="009F796B"/>
    <w:rsid w:val="00A01C13"/>
    <w:rsid w:val="00A13EA8"/>
    <w:rsid w:val="00A205B4"/>
    <w:rsid w:val="00A31FEE"/>
    <w:rsid w:val="00A76C13"/>
    <w:rsid w:val="00A82917"/>
    <w:rsid w:val="00A94D1C"/>
    <w:rsid w:val="00A97744"/>
    <w:rsid w:val="00AA6E99"/>
    <w:rsid w:val="00AB0E18"/>
    <w:rsid w:val="00AC0DEC"/>
    <w:rsid w:val="00AD409F"/>
    <w:rsid w:val="00B02615"/>
    <w:rsid w:val="00B153F9"/>
    <w:rsid w:val="00B2424F"/>
    <w:rsid w:val="00B4173F"/>
    <w:rsid w:val="00B53A4C"/>
    <w:rsid w:val="00B61A59"/>
    <w:rsid w:val="00B63B63"/>
    <w:rsid w:val="00BF0913"/>
    <w:rsid w:val="00BF5CF4"/>
    <w:rsid w:val="00C00F80"/>
    <w:rsid w:val="00C75736"/>
    <w:rsid w:val="00CB1A51"/>
    <w:rsid w:val="00CC1C27"/>
    <w:rsid w:val="00CC23B3"/>
    <w:rsid w:val="00CC6EC2"/>
    <w:rsid w:val="00CE7F68"/>
    <w:rsid w:val="00D17CD6"/>
    <w:rsid w:val="00D2010D"/>
    <w:rsid w:val="00D3471D"/>
    <w:rsid w:val="00D40A15"/>
    <w:rsid w:val="00D5525E"/>
    <w:rsid w:val="00D5593B"/>
    <w:rsid w:val="00D5659D"/>
    <w:rsid w:val="00D85A44"/>
    <w:rsid w:val="00D9362A"/>
    <w:rsid w:val="00DA2FA2"/>
    <w:rsid w:val="00DA6456"/>
    <w:rsid w:val="00DC2B95"/>
    <w:rsid w:val="00DC395C"/>
    <w:rsid w:val="00DE2928"/>
    <w:rsid w:val="00E07D89"/>
    <w:rsid w:val="00E10D79"/>
    <w:rsid w:val="00E13927"/>
    <w:rsid w:val="00E152D3"/>
    <w:rsid w:val="00E20806"/>
    <w:rsid w:val="00E42A0C"/>
    <w:rsid w:val="00E5137B"/>
    <w:rsid w:val="00E54B6F"/>
    <w:rsid w:val="00E85D42"/>
    <w:rsid w:val="00E91D1D"/>
    <w:rsid w:val="00EA1F0B"/>
    <w:rsid w:val="00EC1C6E"/>
    <w:rsid w:val="00ED4AF4"/>
    <w:rsid w:val="00ED67C9"/>
    <w:rsid w:val="00EF30AF"/>
    <w:rsid w:val="00EF3798"/>
    <w:rsid w:val="00EF5EEC"/>
    <w:rsid w:val="00F124A1"/>
    <w:rsid w:val="00F12F14"/>
    <w:rsid w:val="00F17D6A"/>
    <w:rsid w:val="00F25FFF"/>
    <w:rsid w:val="00F74A7A"/>
    <w:rsid w:val="00F903D8"/>
    <w:rsid w:val="00F953D1"/>
    <w:rsid w:val="00F9560B"/>
    <w:rsid w:val="00FA217B"/>
    <w:rsid w:val="00FD6C58"/>
    <w:rsid w:val="00FF13A6"/>
    <w:rsid w:val="01356F0E"/>
    <w:rsid w:val="04720F2C"/>
    <w:rsid w:val="0CEBB5BA"/>
    <w:rsid w:val="10121573"/>
    <w:rsid w:val="11FBA1CB"/>
    <w:rsid w:val="172DCF6A"/>
    <w:rsid w:val="19A66784"/>
    <w:rsid w:val="19FD1892"/>
    <w:rsid w:val="1A0EA7E6"/>
    <w:rsid w:val="1B532ABD"/>
    <w:rsid w:val="1FBD28F5"/>
    <w:rsid w:val="1FD724CE"/>
    <w:rsid w:val="22468ADD"/>
    <w:rsid w:val="2290D7C9"/>
    <w:rsid w:val="2374834E"/>
    <w:rsid w:val="2ACC20FF"/>
    <w:rsid w:val="2DC7E3D8"/>
    <w:rsid w:val="2EA4218F"/>
    <w:rsid w:val="2EB1BFA7"/>
    <w:rsid w:val="32AC43AE"/>
    <w:rsid w:val="333A697F"/>
    <w:rsid w:val="34092F4A"/>
    <w:rsid w:val="3485181B"/>
    <w:rsid w:val="37ABEF39"/>
    <w:rsid w:val="3835DE75"/>
    <w:rsid w:val="3DB269F2"/>
    <w:rsid w:val="3E008270"/>
    <w:rsid w:val="496B6B50"/>
    <w:rsid w:val="4C893CFF"/>
    <w:rsid w:val="4C8B376A"/>
    <w:rsid w:val="56347C5E"/>
    <w:rsid w:val="57915B40"/>
    <w:rsid w:val="5D81BE87"/>
    <w:rsid w:val="5E32FCC1"/>
    <w:rsid w:val="610CB808"/>
    <w:rsid w:val="61F9D7B1"/>
    <w:rsid w:val="62324D22"/>
    <w:rsid w:val="639D00C8"/>
    <w:rsid w:val="63BF73D7"/>
    <w:rsid w:val="6ADD0E53"/>
    <w:rsid w:val="6EE1AC7E"/>
    <w:rsid w:val="6F335FD0"/>
    <w:rsid w:val="71DECDC1"/>
    <w:rsid w:val="729794EC"/>
    <w:rsid w:val="735A8B52"/>
    <w:rsid w:val="7550F18E"/>
    <w:rsid w:val="790C396C"/>
    <w:rsid w:val="7CB39AAC"/>
    <w:rsid w:val="7CB45ADD"/>
    <w:rsid w:val="7EC28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6B1B"/>
  <w15:chartTrackingRefBased/>
  <w15:docId w15:val="{D1017DB7-5A14-4AE5-B33D-79290D0D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74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74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75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74C"/>
    <w:rPr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87574C"/>
    <w:pPr>
      <w:spacing w:after="0" w:line="240" w:lineRule="auto"/>
    </w:pPr>
    <w:rPr>
      <w:kern w:val="0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20CEB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F17D6A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105"/>
    <w:rPr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E20806"/>
    <w:rPr>
      <w:b/>
      <w:bCs/>
    </w:rPr>
  </w:style>
  <w:style w:type="character" w:styleId="Mention">
    <w:name w:val="Mention"/>
    <w:basedOn w:val="DefaultParagraphFont"/>
    <w:uiPriority w:val="99"/>
    <w:unhideWhenUsed/>
    <w:rsid w:val="00907438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5FF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F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2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0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6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etnet.gov.au/Pages/TrainingDocs.aspx?q=ced1390f-48d9-4ab0-bd50-b015e5485705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leewheeler\Desktop\AQF_QUAL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AU">
                <a:latin typeface="Aptos" panose="020B0004020202020204" pitchFamily="34" charset="0"/>
              </a:rPr>
              <a:t>ACSF Skill Levels for Certificate IV in Optical Dispensing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Optical!$C$1</c:f>
              <c:strCache>
                <c:ptCount val="1"/>
                <c:pt idx="0">
                  <c:v>AQF Level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Optical!$A$2:$A$6</c:f>
              <c:strCache>
                <c:ptCount val="5"/>
                <c:pt idx="0">
                  <c:v>Reading</c:v>
                </c:pt>
                <c:pt idx="1">
                  <c:v>Writing</c:v>
                </c:pt>
                <c:pt idx="2">
                  <c:v>Learning</c:v>
                </c:pt>
                <c:pt idx="3">
                  <c:v>Oral Communication</c:v>
                </c:pt>
                <c:pt idx="4">
                  <c:v>Numeracy</c:v>
                </c:pt>
              </c:strCache>
            </c:strRef>
          </c:cat>
          <c:val>
            <c:numRef>
              <c:f>Optical!$C$2:$C$6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0D-C84E-8AF6-6170F826DB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"/>
        <c:axId val="100"/>
      </c:barChart>
      <c:catAx>
        <c:axId val="1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Core Skill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"/>
        <c:crosses val="autoZero"/>
        <c:auto val="0"/>
        <c:lblAlgn val="ctr"/>
        <c:lblOffset val="100"/>
        <c:noMultiLvlLbl val="0"/>
      </c:catAx>
      <c:valAx>
        <c:axId val="100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latin typeface="Aptos" panose="020B0004020202020204" pitchFamily="34" charset="0"/>
                  </a:rPr>
                  <a:t>ACSF Level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"/>
        <c:crosses val="autoZero"/>
        <c:crossBetween val="between"/>
        <c:majorUnit val="1"/>
        <c:minorUnit val="1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582de98-e2ce-421a-bf64-42e1fd4f5a05">Ready for submission</Status>
    <CurrentCode xmlns="0582de98-e2ce-421a-bf64-42e1fd4f5a05">HLT47825</CurrentCode>
    <ExportedtootherQualifications_x002f_TPs xmlns="0582de98-e2ce-421a-bf64-42e1fd4f5a05">false</ExportedtootherQualifications_x002f_TPs>
    <Pre_x002d_draftdetailedchanges xmlns="0582de98-e2ce-421a-bf64-42e1fd4f5a05" xsi:nil="true"/>
    <Postconsultationdetailedchanges xmlns="0582de98-e2ce-421a-bf64-42e1fd4f5a05" xsi:nil="true"/>
    <AfterQAdetailedchanges xmlns="0582de98-e2ce-421a-bf64-42e1fd4f5a05" xsi:nil="true"/>
    <PostSORdetailedchanges xmlns="0582de98-e2ce-421a-bf64-42e1fd4f5a05" xsi:nil="true"/>
    <Newunitcode xmlns="0582de98-e2ce-421a-bf64-42e1fd4f5a05">Not yet assigned</Newunitcode>
    <Componenttype xmlns="0582de98-e2ce-421a-bf64-42e1fd4f5a05">Qualification</Componenttype>
    <Changetype xmlns="0582de98-e2ce-421a-bf64-42e1fd4f5a05">Major</Changetype>
    <Technicalwriter xmlns="0582de98-e2ce-421a-bf64-42e1fd4f5a05">
      <UserInfo>
        <DisplayName>Jasmeet Kaur</DisplayName>
        <AccountId>13</AccountId>
        <AccountType/>
      </UserInfo>
    </Technicalwriter>
    <AfterABsubmissiondetailedchanges xmlns="0582de98-e2ce-421a-bf64-42e1fd4f5a05" xsi:nil="true"/>
    <Newunittitle xmlns="0582de98-e2ce-421a-bf64-42e1fd4f5a05">Not yet assigned</Newunittitle>
    <Prerequisites xmlns="0582de98-e2ce-421a-bf64-42e1fd4f5a05" xsi:nil="true"/>
    <Duedate xmlns="0582de98-e2ce-421a-bf64-42e1fd4f5a05" xsi:nil="true"/>
    <Enrolmentnumbers_x0028_lastyeardataavailable_x0029_ xmlns="0582de98-e2ce-421a-bf64-42e1fd4f5a05" xsi:nil="true"/>
    <AfterTCmeetingdetailedchanges xmlns="0582de98-e2ce-421a-bf64-42e1fd4f5a05" xsi:nil="true"/>
    <Equivalence xmlns="0582de98-e2ce-421a-bf64-42e1fd4f5a05">Non-equivalent</Equivalence>
    <lcf76f155ced4ddcb4097134ff3c332f xmlns="0582de98-e2ce-421a-bf64-42e1fd4f5a05">
      <Terms xmlns="http://schemas.microsoft.com/office/infopath/2007/PartnerControls"/>
    </lcf76f155ced4ddcb4097134ff3c332f>
    <TaxCatchAll xmlns="07d774a0-5bde-4699-ade2-d09c13d8c4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23F87E4687F46B98268AF05453D03" ma:contentTypeVersion="29" ma:contentTypeDescription="Create a new document." ma:contentTypeScope="" ma:versionID="bdca77759ad2dd2c434ae55ca4752297">
  <xsd:schema xmlns:xsd="http://www.w3.org/2001/XMLSchema" xmlns:xs="http://www.w3.org/2001/XMLSchema" xmlns:p="http://schemas.microsoft.com/office/2006/metadata/properties" xmlns:ns2="0582de98-e2ce-421a-bf64-42e1fd4f5a05" xmlns:ns3="07d774a0-5bde-4699-ade2-d09c13d8c44d" targetNamespace="http://schemas.microsoft.com/office/2006/metadata/properties" ma:root="true" ma:fieldsID="730478e731d751afb767ead280cd7893" ns2:_="" ns3:_="">
    <xsd:import namespace="0582de98-e2ce-421a-bf64-42e1fd4f5a05"/>
    <xsd:import namespace="07d774a0-5bde-4699-ade2-d09c13d8c44d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2de98-e2ce-421a-bf64-42e1fd4f5a05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New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Not yet started" ma:format="Dropdown" ma:internalName="Status">
      <xsd:simpleType>
        <xsd:restriction base="dms:Choice">
          <xsd:enumeration value="Not yet started"/>
          <xsd:enumeration value="Initial editing"/>
          <xsd:enumeration value="Ready for initial QA"/>
          <xsd:enumeration value="Ready for technical committee/consultation"/>
          <xsd:enumeration value="Editing post technical committee/consultation"/>
          <xsd:enumeration value="Ready for pre-SRO QA check"/>
          <xsd:enumeration value="Ready for SRO"/>
          <xsd:enumeration value="Editing post SRO"/>
          <xsd:enumeration value="Ready for QA before submission"/>
          <xsd:enumeration value="Ready for submission"/>
          <xsd:enumeration value="Published to NTR"/>
          <xsd:enumeration value="Archive"/>
          <xsd:enumeration value="Additional evidence - 4th Sept"/>
          <xsd:enumeration value="Ready for rectification - 7 Oct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6e79cd2-1ed5-4413-980a-eadead3ac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774a0-5bde-4699-ade2-d09c13d8c44d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7844805d-3ec8-4ac0-a3de-4de7a961b260}" ma:internalName="TaxCatchAll" ma:showField="CatchAllData" ma:web="07d774a0-5bde-4699-ade2-d09c13d8c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94841-AC85-4C09-AA49-6717B5754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A9C2A-6EC5-4EDC-B845-857206A9FAF9}">
  <ds:schemaRefs>
    <ds:schemaRef ds:uri="http://schemas.microsoft.com/office/2006/metadata/properties"/>
    <ds:schemaRef ds:uri="http://schemas.microsoft.com/office/infopath/2007/PartnerControls"/>
    <ds:schemaRef ds:uri="0582de98-e2ce-421a-bf64-42e1fd4f5a05"/>
    <ds:schemaRef ds:uri="07d774a0-5bde-4699-ade2-d09c13d8c44d"/>
  </ds:schemaRefs>
</ds:datastoreItem>
</file>

<file path=customXml/itemProps3.xml><?xml version="1.0" encoding="utf-8"?>
<ds:datastoreItem xmlns:ds="http://schemas.openxmlformats.org/officeDocument/2006/customXml" ds:itemID="{3255D836-8F86-4E57-9FC5-19E7D5FFA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2de98-e2ce-421a-bf64-42e1fd4f5a05"/>
    <ds:schemaRef ds:uri="07d774a0-5bde-4699-ade2-d09c13d8c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3455</Characters>
  <Application>Microsoft Office Word</Application>
  <DocSecurity>0</DocSecurity>
  <Lines>73</Lines>
  <Paragraphs>54</Paragraphs>
  <ScaleCrop>false</ScaleCrop>
  <Company/>
  <LinksUpToDate>false</LinksUpToDate>
  <CharactersWithSpaces>3908</CharactersWithSpaces>
  <SharedDoc>false</SharedDoc>
  <HLinks>
    <vt:vector size="54" baseType="variant">
      <vt:variant>
        <vt:i4>5701663</vt:i4>
      </vt:variant>
      <vt:variant>
        <vt:i4>0</vt:i4>
      </vt:variant>
      <vt:variant>
        <vt:i4>0</vt:i4>
      </vt:variant>
      <vt:variant>
        <vt:i4>5</vt:i4>
      </vt:variant>
      <vt:variant>
        <vt:lpwstr>https://vetnet.gov.au/Pages/TrainingDocs.aspx?q=ced1390f-48d9-4ab0-bd50-b015e5485705</vt:lpwstr>
      </vt:variant>
      <vt:variant>
        <vt:lpwstr/>
      </vt:variant>
      <vt:variant>
        <vt:i4>1703969</vt:i4>
      </vt:variant>
      <vt:variant>
        <vt:i4>21</vt:i4>
      </vt:variant>
      <vt:variant>
        <vt:i4>0</vt:i4>
      </vt:variant>
      <vt:variant>
        <vt:i4>5</vt:i4>
      </vt:variant>
      <vt:variant>
        <vt:lpwstr>mailto:cristina.ferrari@humanability.com.au</vt:lpwstr>
      </vt:variant>
      <vt:variant>
        <vt:lpwstr/>
      </vt:variant>
      <vt:variant>
        <vt:i4>7798844</vt:i4>
      </vt:variant>
      <vt:variant>
        <vt:i4>18</vt:i4>
      </vt:variant>
      <vt:variant>
        <vt:i4>0</vt:i4>
      </vt:variant>
      <vt:variant>
        <vt:i4>5</vt:i4>
      </vt:variant>
      <vt:variant>
        <vt:lpwstr>https://www.odob.health.nz/site/registration/scope-of-practice</vt:lpwstr>
      </vt:variant>
      <vt:variant>
        <vt:lpwstr/>
      </vt:variant>
      <vt:variant>
        <vt:i4>589837</vt:i4>
      </vt:variant>
      <vt:variant>
        <vt:i4>15</vt:i4>
      </vt:variant>
      <vt:variant>
        <vt:i4>0</vt:i4>
      </vt:variant>
      <vt:variant>
        <vt:i4>5</vt:i4>
      </vt:variant>
      <vt:variant>
        <vt:lpwstr>https://gazette.govt.nz/notice/id/2024-sl4611/pdf</vt:lpwstr>
      </vt:variant>
      <vt:variant>
        <vt:lpwstr/>
      </vt:variant>
      <vt:variant>
        <vt:i4>589837</vt:i4>
      </vt:variant>
      <vt:variant>
        <vt:i4>12</vt:i4>
      </vt:variant>
      <vt:variant>
        <vt:i4>0</vt:i4>
      </vt:variant>
      <vt:variant>
        <vt:i4>5</vt:i4>
      </vt:variant>
      <vt:variant>
        <vt:lpwstr>https://gazette.govt.nz/notice/id/2024-sl4611/pdf</vt:lpwstr>
      </vt:variant>
      <vt:variant>
        <vt:lpwstr/>
      </vt:variant>
      <vt:variant>
        <vt:i4>1703969</vt:i4>
      </vt:variant>
      <vt:variant>
        <vt:i4>9</vt:i4>
      </vt:variant>
      <vt:variant>
        <vt:i4>0</vt:i4>
      </vt:variant>
      <vt:variant>
        <vt:i4>5</vt:i4>
      </vt:variant>
      <vt:variant>
        <vt:lpwstr>mailto:cristina.ferrari@humanability.com.au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mailto:jasmeet.kaur@humanability.com.au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mailto:jasmeet.kaur@humanability.com.au</vt:lpwstr>
      </vt:variant>
      <vt:variant>
        <vt:lpwstr/>
      </vt:variant>
      <vt:variant>
        <vt:i4>7077962</vt:i4>
      </vt:variant>
      <vt:variant>
        <vt:i4>0</vt:i4>
      </vt:variant>
      <vt:variant>
        <vt:i4>0</vt:i4>
      </vt:variant>
      <vt:variant>
        <vt:i4>5</vt:i4>
      </vt:variant>
      <vt:variant>
        <vt:lpwstr>mailto:lee.wheeler@humanability.com.au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Jasmeet Kaur</dc:creator>
  <cp:keywords/>
  <dc:description/>
  <cp:lastModifiedBy>Kate De Clercq</cp:lastModifiedBy>
  <cp:revision>2</cp:revision>
  <dcterms:created xsi:type="dcterms:W3CDTF">2025-09-24T03:59:00Z</dcterms:created>
  <dcterms:modified xsi:type="dcterms:W3CDTF">2025-09-24T03:59:00Z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0x010100F6523F87E4687F46B98268AF05453D03</vt:lpwstr>
  </property>
  <property fmtid="{D5CDD505-2E9C-101B-9397-08002B2CF9AE}" pid="3" name="MediaServiceImageTags">
    <vt:lpwstr/>
  </property>
</Properties>
</file>